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97" w:rsidRPr="00F801B5" w:rsidRDefault="001A2497" w:rsidP="000B0C64">
      <w:pPr>
        <w:ind w:right="4315"/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ind w:right="4315"/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ind w:right="4110"/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ind w:right="4110"/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ind w:right="4495"/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ind w:right="4495"/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ind w:right="4495"/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ind w:right="4495"/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ind w:right="4495"/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ind w:right="4495"/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F801B5">
      <w:pPr>
        <w:ind w:right="3825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Про затвердження містобудівних умов та обмежень забудови земельної ділянки на будівництво ТзОВ “Експерт-інвест“ багатоквартирного житлового будинку на просп. В. Чорновола –</w:t>
      </w:r>
      <w:r w:rsidR="00F801B5">
        <w:rPr>
          <w:rFonts w:ascii="Arial" w:hAnsi="Arial" w:cs="Arial"/>
          <w:sz w:val="26"/>
          <w:szCs w:val="26"/>
        </w:rPr>
        <w:t xml:space="preserve"> </w:t>
      </w:r>
      <w:r w:rsidRPr="00F801B5">
        <w:rPr>
          <w:rFonts w:ascii="Arial" w:hAnsi="Arial" w:cs="Arial"/>
          <w:sz w:val="26"/>
          <w:szCs w:val="26"/>
        </w:rPr>
        <w:t>вул. Замарстинівській з вбудованими приміщеннями громадського призначення (№ 11 на генплані)</w:t>
      </w: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Розглянувши звернення товариства з обмеженою відповідальністю “Експерт-інвест“ від 22.05.2017 (зареєстроване у Львівській міській раді 22.05.2017 за № 2-12863/АП-Л-2401), містобудівний розрахунок з техніко-економічними показниками “Будівництво багатоквартирного житлового будинку на просп. В. Чорновола – вул. Замарстинівській з вбудованими приміщеннями громадського призначення. Будинок № 11 на генплані“, беручи до уваги договори оренди землі, зареєстровані у Львівській міській раді 06.07.2008 за № Ш-1169 та 06.07.2008 за № Ш-1170, витяг з Державного земельного кадастру про земельну ділянку від 31.05.2016                 № НВ-4603544142016, керуючись Законом України “Про місцеве самоврядування в Україні“, виконавчий комітет вирішив: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1. Затвердити містобудівні умови та обмеження забудови земельної ділянки на будівництво товариством з обмеженою відповідальністю “Експерт-інвест“ багатоквартирного житлового будинку на просп.                        В. Чорновола – вул. Замарстинівській з вбудованими приміщеннями громадського призначення (№ 11 на генплані) (додаються).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2. Товариству з обмеженою відповідальністю “Експерт-інвест“: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F801B5">
        <w:rPr>
          <w:rFonts w:ascii="Arial" w:hAnsi="Arial" w:cs="Arial"/>
          <w:color w:val="000000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2.3. Звернутися в Інспекцію державного архітектурно-будівельного контролю у м. Львові для реєстрації декларації (дозволу) про початок виконання будівельних робіт та прийняття в експлуатацію закінчених будівництвом об’єктів.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1A2497" w:rsidRPr="00F801B5" w:rsidRDefault="001A2497" w:rsidP="000B0C64">
      <w:pPr>
        <w:rPr>
          <w:rFonts w:ascii="Arial" w:hAnsi="Arial" w:cs="Arial"/>
          <w:sz w:val="22"/>
          <w:szCs w:val="22"/>
        </w:rPr>
      </w:pPr>
    </w:p>
    <w:p w:rsidR="001A2497" w:rsidRPr="00F801B5" w:rsidRDefault="001A2497" w:rsidP="000B0C64">
      <w:pPr>
        <w:rPr>
          <w:rFonts w:ascii="Arial" w:hAnsi="Arial" w:cs="Arial"/>
          <w:sz w:val="22"/>
          <w:szCs w:val="22"/>
        </w:rPr>
      </w:pPr>
    </w:p>
    <w:p w:rsidR="001A2497" w:rsidRDefault="001A2497" w:rsidP="00680D57">
      <w:pPr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Львівський міський голова</w:t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  <w:t xml:space="preserve"> </w:t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  <w:t>А. Садовий</w:t>
      </w:r>
    </w:p>
    <w:p w:rsidR="00F801B5" w:rsidRPr="00F801B5" w:rsidRDefault="00F801B5" w:rsidP="00680D57">
      <w:pPr>
        <w:rPr>
          <w:rFonts w:ascii="Arial" w:hAnsi="Arial" w:cs="Arial"/>
          <w:sz w:val="26"/>
          <w:szCs w:val="26"/>
        </w:rPr>
      </w:pPr>
    </w:p>
    <w:p w:rsidR="001A2497" w:rsidRPr="00F801B5" w:rsidRDefault="001A2497" w:rsidP="00680D57">
      <w:pPr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lastRenderedPageBreak/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  <w:t>Додаток</w:t>
      </w:r>
    </w:p>
    <w:p w:rsidR="001A2497" w:rsidRPr="00F801B5" w:rsidRDefault="001A2497" w:rsidP="00680D57">
      <w:pPr>
        <w:rPr>
          <w:rFonts w:ascii="Arial" w:hAnsi="Arial" w:cs="Arial"/>
          <w:sz w:val="26"/>
          <w:szCs w:val="26"/>
        </w:rPr>
      </w:pPr>
    </w:p>
    <w:p w:rsidR="001A2497" w:rsidRPr="00F801B5" w:rsidRDefault="001A2497" w:rsidP="00680D57">
      <w:pPr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1A2497" w:rsidRPr="00F801B5" w:rsidRDefault="001A2497" w:rsidP="00680D57">
      <w:pPr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  <w:t>рішенням виконкому</w:t>
      </w:r>
    </w:p>
    <w:p w:rsidR="001A2497" w:rsidRPr="00F801B5" w:rsidRDefault="001A2497" w:rsidP="00680D57">
      <w:pPr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  <w:t xml:space="preserve">від </w:t>
      </w:r>
      <w:r w:rsidR="00F801B5">
        <w:rPr>
          <w:rFonts w:ascii="Arial" w:hAnsi="Arial" w:cs="Arial"/>
          <w:sz w:val="26"/>
          <w:szCs w:val="26"/>
        </w:rPr>
        <w:t>09.06.2017</w:t>
      </w:r>
      <w:r w:rsidRPr="00F801B5">
        <w:rPr>
          <w:rFonts w:ascii="Arial" w:hAnsi="Arial" w:cs="Arial"/>
          <w:sz w:val="26"/>
          <w:szCs w:val="26"/>
        </w:rPr>
        <w:t xml:space="preserve"> №</w:t>
      </w:r>
      <w:r w:rsidR="00F801B5">
        <w:rPr>
          <w:rFonts w:ascii="Arial" w:hAnsi="Arial" w:cs="Arial"/>
          <w:sz w:val="26"/>
          <w:szCs w:val="26"/>
        </w:rPr>
        <w:t xml:space="preserve"> 496</w:t>
      </w: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jc w:val="center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jc w:val="center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МІСТОБУДІВНІ УМОВИ ТА ОБМЕ</w:t>
      </w:r>
      <w:bookmarkStart w:id="0" w:name="_GoBack"/>
      <w:bookmarkEnd w:id="0"/>
      <w:r w:rsidRPr="00F801B5">
        <w:rPr>
          <w:rFonts w:ascii="Arial" w:hAnsi="Arial" w:cs="Arial"/>
          <w:sz w:val="26"/>
          <w:szCs w:val="26"/>
        </w:rPr>
        <w:t>ЖЕННЯ</w:t>
      </w:r>
    </w:p>
    <w:p w:rsidR="001A2497" w:rsidRPr="00F801B5" w:rsidRDefault="001A2497" w:rsidP="000B0C64">
      <w:pPr>
        <w:jc w:val="center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ЗАБУДОВИ ЗЕМЕЛЬНОЇ ДІЛЯНКИ </w:t>
      </w:r>
    </w:p>
    <w:p w:rsidR="001A2497" w:rsidRPr="00F801B5" w:rsidRDefault="001A2497" w:rsidP="00AD1FCA">
      <w:pPr>
        <w:jc w:val="center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на будівництво багатоквартирного житлового будинку</w:t>
      </w:r>
    </w:p>
    <w:p w:rsidR="001A2497" w:rsidRPr="00F801B5" w:rsidRDefault="001A2497" w:rsidP="00AD1FCA">
      <w:pPr>
        <w:jc w:val="center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на просп. В. Чорновола – вул. Замарстинівській з вбудованими</w:t>
      </w:r>
    </w:p>
    <w:p w:rsidR="001A2497" w:rsidRPr="00F801B5" w:rsidRDefault="001A2497" w:rsidP="00AD1FCA">
      <w:pPr>
        <w:jc w:val="center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приміщеннями громадського призначення (№ 11 на генплані)</w:t>
      </w:r>
    </w:p>
    <w:p w:rsidR="001A2497" w:rsidRPr="00F801B5" w:rsidRDefault="001A2497" w:rsidP="000B0C64">
      <w:pPr>
        <w:jc w:val="center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jc w:val="center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jc w:val="center"/>
        <w:rPr>
          <w:rFonts w:ascii="Arial" w:hAnsi="Arial" w:cs="Arial"/>
          <w:b/>
          <w:sz w:val="26"/>
          <w:szCs w:val="26"/>
        </w:rPr>
      </w:pPr>
      <w:r w:rsidRPr="00F801B5">
        <w:rPr>
          <w:rFonts w:ascii="Arial" w:hAnsi="Arial" w:cs="Arial"/>
          <w:b/>
          <w:sz w:val="26"/>
          <w:szCs w:val="26"/>
        </w:rPr>
        <w:t>1. Загальні дані</w:t>
      </w: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1.1. </w:t>
      </w:r>
      <w:r w:rsidRPr="00F801B5">
        <w:rPr>
          <w:rFonts w:ascii="Arial" w:hAnsi="Arial" w:cs="Arial"/>
          <w:b/>
          <w:sz w:val="26"/>
          <w:szCs w:val="26"/>
        </w:rPr>
        <w:t>Назва об’єкта будівництва</w:t>
      </w:r>
      <w:r w:rsidRPr="00F801B5">
        <w:rPr>
          <w:rFonts w:ascii="Arial" w:hAnsi="Arial" w:cs="Arial"/>
          <w:sz w:val="26"/>
          <w:szCs w:val="26"/>
        </w:rPr>
        <w:t xml:space="preserve"> – будівництво багатоквартирного житлового будинку на просп. В. Чорновола – вул. Замарстинівській з вбудованими приміщеннями громадського призначення (№ 11 на генплані). 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1.2. </w:t>
      </w:r>
      <w:r w:rsidRPr="00F801B5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F801B5">
        <w:rPr>
          <w:rFonts w:ascii="Arial" w:hAnsi="Arial" w:cs="Arial"/>
          <w:sz w:val="26"/>
          <w:szCs w:val="26"/>
        </w:rPr>
        <w:t xml:space="preserve"> – товариство з обмеженою відповідальністю “Експерт-інвест“, </w:t>
      </w:r>
      <w:smartTag w:uri="urn:schemas-microsoft-com:office:smarttags" w:element="metricconverter">
        <w:smartTagPr>
          <w:attr w:name="ProductID" w:val="79020, м"/>
        </w:smartTagPr>
        <w:r w:rsidRPr="00F801B5">
          <w:rPr>
            <w:rFonts w:ascii="Arial" w:hAnsi="Arial" w:cs="Arial"/>
            <w:sz w:val="26"/>
            <w:szCs w:val="26"/>
          </w:rPr>
          <w:t>79020, м</w:t>
        </w:r>
      </w:smartTag>
      <w:r w:rsidRPr="00F801B5">
        <w:rPr>
          <w:rFonts w:ascii="Arial" w:hAnsi="Arial" w:cs="Arial"/>
          <w:sz w:val="26"/>
          <w:szCs w:val="26"/>
        </w:rPr>
        <w:t>. Львів, вул. Реміснича, 37.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1.3. </w:t>
      </w:r>
      <w:r w:rsidRPr="00F801B5">
        <w:rPr>
          <w:rFonts w:ascii="Arial" w:hAnsi="Arial" w:cs="Arial"/>
          <w:b/>
          <w:sz w:val="26"/>
          <w:szCs w:val="26"/>
        </w:rPr>
        <w:t>Наміри забудови</w:t>
      </w:r>
      <w:r w:rsidRPr="00F801B5">
        <w:rPr>
          <w:rFonts w:ascii="Arial" w:hAnsi="Arial" w:cs="Arial"/>
          <w:sz w:val="26"/>
          <w:szCs w:val="26"/>
        </w:rPr>
        <w:t xml:space="preserve"> – будівництво багатоквартирного житлового будинку на просп. В. Чорновола – вул. Замарстинівській з вбудованими приміщеннями громадського призначення (№ 11 на генплані).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1.4. </w:t>
      </w:r>
      <w:r w:rsidRPr="00F801B5">
        <w:rPr>
          <w:rFonts w:ascii="Arial" w:hAnsi="Arial" w:cs="Arial"/>
          <w:b/>
          <w:sz w:val="26"/>
          <w:szCs w:val="26"/>
        </w:rPr>
        <w:t>Адреса будівництва або місце розташування об’єкта</w:t>
      </w:r>
      <w:r w:rsidRPr="00F801B5">
        <w:rPr>
          <w:rFonts w:ascii="Arial" w:hAnsi="Arial" w:cs="Arial"/>
          <w:sz w:val="26"/>
          <w:szCs w:val="26"/>
        </w:rPr>
        <w:t xml:space="preserve"> –            м. Львів, просп. В. Чорновола – вул. Замарстинівська.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1.5. </w:t>
      </w:r>
      <w:r w:rsidRPr="00F801B5">
        <w:rPr>
          <w:rFonts w:ascii="Arial" w:hAnsi="Arial" w:cs="Arial"/>
          <w:b/>
          <w:sz w:val="26"/>
          <w:szCs w:val="26"/>
        </w:rPr>
        <w:t>Документ, що підтверджує право власності або користування земельною ділянкою</w:t>
      </w:r>
      <w:r w:rsidRPr="00F801B5">
        <w:rPr>
          <w:rFonts w:ascii="Arial" w:hAnsi="Arial" w:cs="Arial"/>
          <w:sz w:val="26"/>
          <w:szCs w:val="26"/>
        </w:rPr>
        <w:t xml:space="preserve"> – договори оренди землі, зареєстровані у Львівській міській раді 06.07.2008 за № Ш-1169 та 06.07.2008 за № Ш-1170 (терміном на 49 років, для будівництва та обслуговування торгово-громадського, торгово-офісного і житлового комплексу), витяг з Державного земельного кадастру про земельну ділянку від 31.05.2016 № НВ-4603544142016.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1.6. </w:t>
      </w:r>
      <w:r w:rsidRPr="00F801B5">
        <w:rPr>
          <w:rFonts w:ascii="Arial" w:hAnsi="Arial" w:cs="Arial"/>
          <w:b/>
          <w:sz w:val="26"/>
          <w:szCs w:val="26"/>
        </w:rPr>
        <w:t>Площа земельної ділянки</w:t>
      </w:r>
      <w:r w:rsidRPr="00F801B5">
        <w:rPr>
          <w:rFonts w:ascii="Arial" w:hAnsi="Arial" w:cs="Arial"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4,4050 га"/>
        </w:smartTagPr>
        <w:r w:rsidRPr="00F801B5">
          <w:rPr>
            <w:rFonts w:ascii="Arial" w:hAnsi="Arial" w:cs="Arial"/>
            <w:sz w:val="26"/>
            <w:szCs w:val="26"/>
          </w:rPr>
          <w:t>4,4050 га</w:t>
        </w:r>
      </w:smartTag>
      <w:r w:rsidRPr="00F801B5">
        <w:rPr>
          <w:rFonts w:ascii="Arial" w:hAnsi="Arial" w:cs="Arial"/>
          <w:sz w:val="26"/>
          <w:szCs w:val="26"/>
        </w:rPr>
        <w:t xml:space="preserve"> та </w:t>
      </w:r>
      <w:smartTag w:uri="urn:schemas-microsoft-com:office:smarttags" w:element="metricconverter">
        <w:smartTagPr>
          <w:attr w:name="ProductID" w:val="0,0543 га"/>
        </w:smartTagPr>
        <w:r w:rsidRPr="00F801B5">
          <w:rPr>
            <w:rFonts w:ascii="Arial" w:hAnsi="Arial" w:cs="Arial"/>
            <w:sz w:val="26"/>
            <w:szCs w:val="26"/>
          </w:rPr>
          <w:t>0,0543 га</w:t>
        </w:r>
      </w:smartTag>
    </w:p>
    <w:p w:rsidR="001A2497" w:rsidRPr="00F801B5" w:rsidRDefault="001A2497" w:rsidP="000B0C64">
      <w:pPr>
        <w:pStyle w:val="rvps14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6"/>
          <w:szCs w:val="26"/>
          <w:lang w:val="uk-UA"/>
        </w:rPr>
      </w:pPr>
      <w:r w:rsidRPr="00F801B5">
        <w:rPr>
          <w:rFonts w:ascii="Arial" w:hAnsi="Arial" w:cs="Arial"/>
          <w:sz w:val="26"/>
          <w:szCs w:val="26"/>
          <w:lang w:val="uk-UA"/>
        </w:rPr>
        <w:t xml:space="preserve">1.7. </w:t>
      </w:r>
      <w:r w:rsidRPr="00F801B5">
        <w:rPr>
          <w:rFonts w:ascii="Arial" w:hAnsi="Arial" w:cs="Arial"/>
          <w:b/>
          <w:sz w:val="26"/>
          <w:szCs w:val="26"/>
          <w:lang w:val="uk-UA"/>
        </w:rPr>
        <w:t>Цільове призначення земельної ділянки</w:t>
      </w:r>
      <w:r w:rsidRPr="00F801B5">
        <w:rPr>
          <w:rFonts w:ascii="Arial" w:hAnsi="Arial" w:cs="Arial"/>
          <w:sz w:val="26"/>
          <w:szCs w:val="26"/>
          <w:lang w:val="uk-UA"/>
        </w:rPr>
        <w:t xml:space="preserve"> – землі житлової та громадської забудови (3.15 –</w:t>
      </w:r>
      <w:r w:rsidRPr="00F801B5">
        <w:rPr>
          <w:rFonts w:ascii="Arial" w:hAnsi="Arial" w:cs="Arial"/>
          <w:color w:val="000000"/>
          <w:sz w:val="26"/>
          <w:szCs w:val="26"/>
          <w:lang w:val="uk-UA"/>
        </w:rPr>
        <w:t xml:space="preserve"> для будівництва та обслуговування інших будівель громадської забудови).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1.8. </w:t>
      </w:r>
      <w:r w:rsidRPr="00F801B5">
        <w:rPr>
          <w:rFonts w:ascii="Arial" w:hAnsi="Arial" w:cs="Arial"/>
          <w:b/>
          <w:sz w:val="26"/>
          <w:szCs w:val="26"/>
        </w:rPr>
        <w:t>Посилання на містобудівну документацію: генеральний план населеного пункту, план зонування, детальний план території та рішення про їх затвердження (у разі наявності)</w:t>
      </w:r>
      <w:r w:rsidRPr="00F801B5">
        <w:rPr>
          <w:rFonts w:ascii="Arial" w:hAnsi="Arial" w:cs="Arial"/>
          <w:sz w:val="26"/>
          <w:szCs w:val="26"/>
        </w:rPr>
        <w:t xml:space="preserve"> – генеральний план забудови міста, затверджений ухвалою міської ради від 30.09.2010 № 3924, план зонування територій (зонінгу) Шевченківського району затверджений ухвалою міської ради від 21.05.2015 № 4657, Г-2 –</w:t>
      </w:r>
      <w:r w:rsidRPr="00F801B5">
        <w:rPr>
          <w:rFonts w:ascii="Arial" w:eastAsia="Times New Roman Bold" w:hAnsi="Arial" w:cs="Arial"/>
          <w:bCs/>
          <w:sz w:val="26"/>
          <w:szCs w:val="26"/>
        </w:rPr>
        <w:t xml:space="preserve"> торгово-ділові зони районного рівня</w:t>
      </w:r>
      <w:r w:rsidRPr="00F801B5">
        <w:rPr>
          <w:rFonts w:ascii="Arial" w:hAnsi="Arial" w:cs="Arial"/>
          <w:sz w:val="26"/>
          <w:szCs w:val="26"/>
        </w:rPr>
        <w:t xml:space="preserve"> з допустимим видом житлової забудови.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1.9. </w:t>
      </w:r>
      <w:r w:rsidRPr="00F801B5">
        <w:rPr>
          <w:rFonts w:ascii="Arial" w:hAnsi="Arial" w:cs="Arial"/>
          <w:b/>
          <w:sz w:val="26"/>
          <w:szCs w:val="26"/>
        </w:rPr>
        <w:t>Функціональне призначення земельної ділянки</w:t>
      </w:r>
      <w:r w:rsidRPr="00F801B5">
        <w:rPr>
          <w:rFonts w:ascii="Arial" w:hAnsi="Arial" w:cs="Arial"/>
          <w:sz w:val="26"/>
          <w:szCs w:val="26"/>
        </w:rPr>
        <w:t xml:space="preserve"> – землі комерційного використання.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1.10. </w:t>
      </w:r>
      <w:r w:rsidRPr="00F801B5">
        <w:rPr>
          <w:rFonts w:ascii="Arial" w:hAnsi="Arial" w:cs="Arial"/>
          <w:b/>
          <w:color w:val="000000"/>
          <w:sz w:val="26"/>
          <w:szCs w:val="26"/>
        </w:rPr>
        <w:t xml:space="preserve">Основні техніко-економічні показники об’єкта будівництва (орієнтовні) </w:t>
      </w:r>
      <w:r w:rsidRPr="00F801B5">
        <w:rPr>
          <w:rFonts w:ascii="Arial" w:hAnsi="Arial" w:cs="Arial"/>
          <w:color w:val="000000"/>
          <w:sz w:val="26"/>
          <w:szCs w:val="26"/>
        </w:rPr>
        <w:t xml:space="preserve">– </w:t>
      </w:r>
      <w:r w:rsidRPr="00F801B5">
        <w:rPr>
          <w:rFonts w:ascii="Arial" w:hAnsi="Arial" w:cs="Arial"/>
          <w:sz w:val="26"/>
          <w:szCs w:val="26"/>
        </w:rPr>
        <w:t>будівництво багатоквартирного житлового будинку на просп. В. Чорновола – вул. Замарстинівській з вбудованими приміщеннями громадського призначення (№ 11 на генплані):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1.10.1. Площа земельної ділянки – </w:t>
      </w:r>
      <w:smartTag w:uri="urn:schemas-microsoft-com:office:smarttags" w:element="metricconverter">
        <w:smartTagPr>
          <w:attr w:name="ProductID" w:val="4,4050 га"/>
        </w:smartTagPr>
        <w:r w:rsidRPr="00F801B5">
          <w:rPr>
            <w:rFonts w:ascii="Arial" w:hAnsi="Arial" w:cs="Arial"/>
            <w:sz w:val="26"/>
            <w:szCs w:val="26"/>
          </w:rPr>
          <w:t>4,4050 га</w:t>
        </w:r>
      </w:smartTag>
      <w:r w:rsidRPr="00F801B5">
        <w:rPr>
          <w:rFonts w:ascii="Arial" w:hAnsi="Arial" w:cs="Arial"/>
          <w:sz w:val="26"/>
          <w:szCs w:val="26"/>
        </w:rPr>
        <w:t xml:space="preserve"> та </w:t>
      </w:r>
      <w:smartTag w:uri="urn:schemas-microsoft-com:office:smarttags" w:element="metricconverter">
        <w:smartTagPr>
          <w:attr w:name="ProductID" w:val="0,0543 га"/>
        </w:smartTagPr>
        <w:r w:rsidRPr="00F801B5">
          <w:rPr>
            <w:rFonts w:ascii="Arial" w:hAnsi="Arial" w:cs="Arial"/>
            <w:sz w:val="26"/>
            <w:szCs w:val="26"/>
          </w:rPr>
          <w:t>0,0543 га</w:t>
        </w:r>
      </w:smartTag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lastRenderedPageBreak/>
        <w:t xml:space="preserve">1.10.2. Площа забудови – </w:t>
      </w:r>
      <w:smartTag w:uri="urn:schemas-microsoft-com:office:smarttags" w:element="metricconverter">
        <w:smartTagPr>
          <w:attr w:name="ProductID" w:val="684,60 кв. м"/>
        </w:smartTagPr>
        <w:r w:rsidRPr="00F801B5">
          <w:rPr>
            <w:rFonts w:ascii="Arial" w:hAnsi="Arial" w:cs="Arial"/>
            <w:sz w:val="26"/>
            <w:szCs w:val="26"/>
          </w:rPr>
          <w:t>684,60 кв. м</w:t>
        </w:r>
      </w:smartTag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1.10.3. Загальна площа квартир – </w:t>
      </w:r>
      <w:smartTag w:uri="urn:schemas-microsoft-com:office:smarttags" w:element="metricconverter">
        <w:smartTagPr>
          <w:attr w:name="ProductID" w:val="5495,51 кв. м"/>
        </w:smartTagPr>
        <w:r w:rsidRPr="00F801B5">
          <w:rPr>
            <w:rFonts w:ascii="Arial" w:hAnsi="Arial" w:cs="Arial"/>
            <w:sz w:val="26"/>
            <w:szCs w:val="26"/>
          </w:rPr>
          <w:t>5495,51 кв. м</w:t>
        </w:r>
      </w:smartTag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1.10.4. Площа приміщень громадського призначення – </w:t>
      </w:r>
      <w:smartTag w:uri="urn:schemas-microsoft-com:office:smarttags" w:element="metricconverter">
        <w:smartTagPr>
          <w:attr w:name="ProductID" w:val="553,23 кв. м"/>
        </w:smartTagPr>
        <w:r w:rsidRPr="00F801B5">
          <w:rPr>
            <w:rFonts w:ascii="Arial" w:hAnsi="Arial" w:cs="Arial"/>
            <w:sz w:val="26"/>
            <w:szCs w:val="26"/>
          </w:rPr>
          <w:t>553,23 кв. м</w:t>
        </w:r>
      </w:smartTag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1.10.5. Площа техпідпілля – </w:t>
      </w:r>
      <w:smartTag w:uri="urn:schemas-microsoft-com:office:smarttags" w:element="metricconverter">
        <w:smartTagPr>
          <w:attr w:name="ProductID" w:val="621,96 кв. м"/>
        </w:smartTagPr>
        <w:r w:rsidRPr="00F801B5">
          <w:rPr>
            <w:rFonts w:ascii="Arial" w:hAnsi="Arial" w:cs="Arial"/>
            <w:sz w:val="26"/>
            <w:szCs w:val="26"/>
          </w:rPr>
          <w:t>621,96 кв. м</w:t>
        </w:r>
      </w:smartTag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1.10.6. Будівельний об’єм – </w:t>
      </w:r>
      <w:smartTag w:uri="urn:schemas-microsoft-com:office:smarttags" w:element="metricconverter">
        <w:smartTagPr>
          <w:attr w:name="ProductID" w:val="29529,38 куб. м"/>
        </w:smartTagPr>
        <w:r w:rsidRPr="00F801B5">
          <w:rPr>
            <w:rFonts w:ascii="Arial" w:hAnsi="Arial" w:cs="Arial"/>
            <w:sz w:val="26"/>
            <w:szCs w:val="26"/>
          </w:rPr>
          <w:t>29529,38 куб. м</w:t>
        </w:r>
      </w:smartTag>
      <w:r w:rsidRPr="00F801B5">
        <w:rPr>
          <w:rFonts w:ascii="Arial" w:hAnsi="Arial" w:cs="Arial"/>
          <w:sz w:val="26"/>
          <w:szCs w:val="26"/>
        </w:rPr>
        <w:t>, у тому числі: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1.10.6.1. Вище відмітки </w:t>
      </w:r>
      <w:smartTag w:uri="urn:schemas-microsoft-com:office:smarttags" w:element="metricconverter">
        <w:smartTagPr>
          <w:attr w:name="ProductID" w:val="0,000 м"/>
        </w:smartTagPr>
        <w:r w:rsidRPr="00F801B5">
          <w:rPr>
            <w:rFonts w:ascii="Arial" w:hAnsi="Arial" w:cs="Arial"/>
            <w:sz w:val="26"/>
            <w:szCs w:val="26"/>
          </w:rPr>
          <w:t>0,000 м</w:t>
        </w:r>
      </w:smartTag>
      <w:r w:rsidRPr="00F801B5">
        <w:rPr>
          <w:rFonts w:ascii="Arial" w:hAnsi="Arial" w:cs="Arial"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26733,26 куб. м"/>
        </w:smartTagPr>
        <w:r w:rsidRPr="00F801B5">
          <w:rPr>
            <w:rFonts w:ascii="Arial" w:hAnsi="Arial" w:cs="Arial"/>
            <w:sz w:val="26"/>
            <w:szCs w:val="26"/>
          </w:rPr>
          <w:t>26733,26 куб. м</w:t>
        </w:r>
      </w:smartTag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1.10.6.2. Нижче відмітки </w:t>
      </w:r>
      <w:smartTag w:uri="urn:schemas-microsoft-com:office:smarttags" w:element="metricconverter">
        <w:smartTagPr>
          <w:attr w:name="ProductID" w:val="0,000 м"/>
        </w:smartTagPr>
        <w:r w:rsidRPr="00F801B5">
          <w:rPr>
            <w:rFonts w:ascii="Arial" w:hAnsi="Arial" w:cs="Arial"/>
            <w:sz w:val="26"/>
            <w:szCs w:val="26"/>
          </w:rPr>
          <w:t>0,000 м</w:t>
        </w:r>
      </w:smartTag>
      <w:r w:rsidRPr="00F801B5">
        <w:rPr>
          <w:rFonts w:ascii="Arial" w:hAnsi="Arial" w:cs="Arial"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2796,12 куб. м"/>
        </w:smartTagPr>
        <w:r w:rsidRPr="00F801B5">
          <w:rPr>
            <w:rFonts w:ascii="Arial" w:hAnsi="Arial" w:cs="Arial"/>
            <w:sz w:val="26"/>
            <w:szCs w:val="26"/>
          </w:rPr>
          <w:t>2796,12 куб. м</w:t>
        </w:r>
      </w:smartTag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1.10.7. Кількість квартир – 99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1.10.8. Поверховість – 12</w:t>
      </w:r>
    </w:p>
    <w:p w:rsidR="001A2497" w:rsidRPr="00F801B5" w:rsidRDefault="001A2497" w:rsidP="000B0C64">
      <w:pPr>
        <w:jc w:val="center"/>
        <w:rPr>
          <w:rFonts w:ascii="Arial" w:hAnsi="Arial" w:cs="Arial"/>
          <w:b/>
          <w:sz w:val="26"/>
          <w:szCs w:val="26"/>
        </w:rPr>
      </w:pPr>
    </w:p>
    <w:p w:rsidR="001A2497" w:rsidRPr="00F801B5" w:rsidRDefault="001A2497" w:rsidP="000B0C64">
      <w:pPr>
        <w:jc w:val="center"/>
        <w:rPr>
          <w:rFonts w:ascii="Arial" w:hAnsi="Arial" w:cs="Arial"/>
          <w:b/>
          <w:sz w:val="26"/>
          <w:szCs w:val="26"/>
        </w:rPr>
      </w:pPr>
      <w:r w:rsidRPr="00F801B5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2.1</w:t>
      </w:r>
      <w:r w:rsidRPr="00F801B5">
        <w:rPr>
          <w:rFonts w:ascii="Arial" w:hAnsi="Arial" w:cs="Arial"/>
          <w:b/>
          <w:sz w:val="26"/>
          <w:szCs w:val="26"/>
        </w:rPr>
        <w:t>. Граничнодопустима висота будівель</w:t>
      </w:r>
      <w:r w:rsidRPr="00F801B5">
        <w:rPr>
          <w:rFonts w:ascii="Arial" w:hAnsi="Arial" w:cs="Arial"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41,70 м"/>
        </w:smartTagPr>
        <w:r w:rsidRPr="00F801B5">
          <w:rPr>
            <w:rFonts w:ascii="Arial" w:hAnsi="Arial" w:cs="Arial"/>
            <w:sz w:val="26"/>
            <w:szCs w:val="26"/>
          </w:rPr>
          <w:t>41,70 м</w:t>
        </w:r>
      </w:smartTag>
      <w:r w:rsidRPr="00F801B5">
        <w:rPr>
          <w:rFonts w:ascii="Arial" w:hAnsi="Arial" w:cs="Arial"/>
          <w:sz w:val="26"/>
          <w:szCs w:val="26"/>
        </w:rPr>
        <w:t xml:space="preserve"> (відповідно до містобудівного розрахунку).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2.2. </w:t>
      </w:r>
      <w:r w:rsidRPr="00F801B5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F801B5">
        <w:rPr>
          <w:rFonts w:ascii="Arial" w:hAnsi="Arial" w:cs="Arial"/>
          <w:sz w:val="26"/>
          <w:szCs w:val="26"/>
        </w:rPr>
        <w:t xml:space="preserve"> – 1,53 % (для даного будинку, відповідно до містобудівного розрахунку).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2.3. </w:t>
      </w:r>
      <w:r w:rsidRPr="00F801B5">
        <w:rPr>
          <w:rFonts w:ascii="Arial" w:hAnsi="Arial" w:cs="Arial"/>
          <w:b/>
          <w:sz w:val="26"/>
          <w:szCs w:val="26"/>
        </w:rPr>
        <w:t>Максимально допустима щільність населення (для житлової забудови)</w:t>
      </w:r>
      <w:r w:rsidRPr="00F801B5">
        <w:rPr>
          <w:rFonts w:ascii="Arial" w:hAnsi="Arial" w:cs="Arial"/>
          <w:sz w:val="26"/>
          <w:szCs w:val="26"/>
        </w:rPr>
        <w:t xml:space="preserve"> – 450 людей на </w:t>
      </w:r>
      <w:smartTag w:uri="urn:schemas-microsoft-com:office:smarttags" w:element="metricconverter">
        <w:smartTagPr>
          <w:attr w:name="ProductID" w:val="1 га"/>
        </w:smartTagPr>
        <w:r w:rsidRPr="00F801B5">
          <w:rPr>
            <w:rFonts w:ascii="Arial" w:hAnsi="Arial" w:cs="Arial"/>
            <w:sz w:val="26"/>
            <w:szCs w:val="26"/>
          </w:rPr>
          <w:t>1 га</w:t>
        </w:r>
      </w:smartTag>
      <w:r w:rsidRPr="00F801B5">
        <w:rPr>
          <w:rFonts w:ascii="Arial" w:hAnsi="Arial" w:cs="Arial"/>
          <w:sz w:val="26"/>
          <w:szCs w:val="26"/>
        </w:rPr>
        <w:t xml:space="preserve"> (п. 3.8* ДБН 360-92** “Містобудування. Планування і забудова міських і сільських поселень“ (зі змінами).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2.4. </w:t>
      </w:r>
      <w:r w:rsidRPr="00F801B5">
        <w:rPr>
          <w:rFonts w:ascii="Arial" w:hAnsi="Arial" w:cs="Arial"/>
          <w:b/>
          <w:sz w:val="26"/>
          <w:szCs w:val="26"/>
        </w:rPr>
        <w:t>Відстані від об’єкта, який проектується, до меж червоних ліній та ліній регулювання забудови</w:t>
      </w:r>
      <w:r w:rsidRPr="00F801B5">
        <w:rPr>
          <w:rFonts w:ascii="Arial" w:hAnsi="Arial" w:cs="Arial"/>
          <w:sz w:val="26"/>
          <w:szCs w:val="26"/>
        </w:rPr>
        <w:t xml:space="preserve"> – об’єкт (багатоквартирний житловий будинок на просп. В. Чорновола – вул. Замарстинівській з вбудованими приміщеннями громадського призначення (№ 11 на генплані) запроектувати у межах відведених земельних ділянок (договори оренди землі, зареєстровані у Львівській міській раді 06.07.2008 за № Ш-1169 та 06.07.2008 за № Ш-1170 (терміном на 49 років, для будівництва та обслуговування торгово-громадського, торгово-офісного і житлового комплексу) з дотриманням вимог ДБН 360-92** “Містобудування. Планування і забудова міських і сільських поселень“ (зі змінами), ДБН В.1.2-12-2008 “Будівництво в умовах ущільненої забудови. Вимоги безпеки“ з забезпеченням протипожежних розривів, нормативної тривалості інсоляції, нормативних вимог до забудови ділянки. </w:t>
      </w:r>
    </w:p>
    <w:p w:rsidR="001A2497" w:rsidRPr="00F801B5" w:rsidRDefault="001A2497" w:rsidP="000B0C64">
      <w:pPr>
        <w:pStyle w:val="Style3"/>
        <w:widowControl/>
        <w:ind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F801B5">
        <w:rPr>
          <w:rFonts w:ascii="Arial" w:hAnsi="Arial" w:cs="Arial"/>
          <w:sz w:val="26"/>
          <w:szCs w:val="26"/>
          <w:lang w:val="uk-UA"/>
        </w:rPr>
        <w:t xml:space="preserve">2.5. </w:t>
      </w:r>
      <w:r w:rsidRPr="00F801B5">
        <w:rPr>
          <w:rFonts w:ascii="Arial" w:hAnsi="Arial" w:cs="Arial"/>
          <w:b/>
          <w:sz w:val="26"/>
          <w:szCs w:val="26"/>
          <w:lang w:val="uk-UA"/>
        </w:rPr>
        <w:t>Планувальні обмеження (зони охорони пам’яток культурної спадщини, зони охоронюваного ландшафту, межі історичних ареалів, прибережні захисні смуги, санітарно-захисні та інші охоронювані зони)</w:t>
      </w:r>
      <w:r w:rsidRPr="00F801B5">
        <w:rPr>
          <w:rFonts w:ascii="Arial" w:hAnsi="Arial" w:cs="Arial"/>
          <w:sz w:val="26"/>
          <w:szCs w:val="26"/>
          <w:lang w:val="uk-UA"/>
        </w:rPr>
        <w:t xml:space="preserve"> – при проектуванні врахувати місце розміщення проектованого багатоквартирного житлового будинку на просп. В. Чорновола – вул. Замарстинівській з вбудованими приміщеннями громадського призначення (№ 11 на генплані) у кварталі багатоповерхової забудови (протокол містобудівної ради від 23.12.2016 № 19). </w:t>
      </w:r>
    </w:p>
    <w:p w:rsidR="001A2497" w:rsidRPr="00F801B5" w:rsidRDefault="001A2497" w:rsidP="000B0C64">
      <w:pPr>
        <w:pStyle w:val="Style3"/>
        <w:widowControl/>
        <w:ind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F801B5">
        <w:rPr>
          <w:rFonts w:ascii="Arial" w:hAnsi="Arial" w:cs="Arial"/>
          <w:sz w:val="26"/>
          <w:szCs w:val="26"/>
          <w:lang w:val="uk-UA"/>
        </w:rPr>
        <w:t xml:space="preserve">Дотримуватись засад гармонійного вписання нової забудови у сформоване архітектурно-містобудівне середовище. 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Надати проектованому об’єкту архітектурної виразності, строгості; звернути увагу на масштаб існуючої забудови, архітектурне завершення, оформлення вхідної частини, віконних отворів, балконів тощо. Проектовані об’єкти повинні відповідати всім параметрам європейського досвіду у проектуванні.</w:t>
      </w:r>
    </w:p>
    <w:p w:rsidR="001A2497" w:rsidRPr="00F801B5" w:rsidRDefault="001A2497" w:rsidP="000B0C6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2.6. </w:t>
      </w:r>
      <w:r w:rsidRPr="00F801B5">
        <w:rPr>
          <w:rFonts w:ascii="Arial" w:hAnsi="Arial" w:cs="Arial"/>
          <w:b/>
          <w:sz w:val="26"/>
          <w:szCs w:val="26"/>
        </w:rPr>
        <w:t>Мінімально допустимі відстані від об’єктів, які проектуються, до існуючих будинків та споруд</w:t>
      </w:r>
      <w:r w:rsidRPr="00F801B5">
        <w:rPr>
          <w:rFonts w:ascii="Arial" w:hAnsi="Arial" w:cs="Arial"/>
          <w:sz w:val="26"/>
          <w:szCs w:val="26"/>
        </w:rPr>
        <w:t xml:space="preserve"> – будівництво проводити з дотриманням </w:t>
      </w:r>
      <w:r w:rsidRPr="00F801B5">
        <w:rPr>
          <w:rFonts w:ascii="Arial" w:hAnsi="Arial" w:cs="Arial"/>
          <w:sz w:val="26"/>
          <w:szCs w:val="26"/>
        </w:rPr>
        <w:lastRenderedPageBreak/>
        <w:t xml:space="preserve">вимог ДБН 360-92** “Містобудування. Планування і забудова міських і сільських поселень“ (зі змінами), ДБН В.1.2-12-2008 “Будівництво в умовах ущільненої забудови. Вимоги безпеки“, нормативних документів та вимог рішення виконавчого комітету від 26.10.2007 № 893 “Про заходи запобігання виникненню аварійних ситуацій при будівництві нових та реконструкції існуючих об’єктів“. </w:t>
      </w:r>
    </w:p>
    <w:p w:rsidR="001A2497" w:rsidRPr="00F801B5" w:rsidRDefault="001A2497" w:rsidP="000B0C64">
      <w:pPr>
        <w:pStyle w:val="Style3"/>
        <w:widowControl/>
        <w:ind w:right="-1"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F801B5">
        <w:rPr>
          <w:rFonts w:ascii="Arial" w:hAnsi="Arial" w:cs="Arial"/>
          <w:bCs/>
          <w:color w:val="000000"/>
          <w:sz w:val="26"/>
          <w:szCs w:val="26"/>
          <w:lang w:val="uk-UA"/>
        </w:rPr>
        <w:t>З метою забезпечення виконання вимог Кодексу цивільного захисту України до початку проектування отримати у Головному управлінні ДСНС України у Львівській області технічні умови щодо інженерного забезпечення об’єктів будівництва з питань пожежної та техногенної безпеки (вимоги наказу директора департаменту містобудування від 21.12.2016</w:t>
      </w:r>
      <w:r w:rsidRPr="00F801B5">
        <w:rPr>
          <w:rFonts w:ascii="Arial" w:hAnsi="Arial" w:cs="Arial"/>
          <w:bCs/>
          <w:sz w:val="26"/>
          <w:szCs w:val="26"/>
          <w:lang w:val="uk-UA"/>
        </w:rPr>
        <w:t xml:space="preserve"> № 42</w:t>
      </w:r>
      <w:r w:rsidRPr="00F801B5">
        <w:rPr>
          <w:rFonts w:ascii="Arial" w:hAnsi="Arial" w:cs="Arial"/>
          <w:bCs/>
          <w:color w:val="000000"/>
          <w:sz w:val="26"/>
          <w:szCs w:val="26"/>
          <w:lang w:val="uk-UA"/>
        </w:rPr>
        <w:t>), передбачити можливість укриття проживаючого населення у спорудах підземного простору та приведення їх до готовності у нормативний час.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2.7. </w:t>
      </w:r>
      <w:r w:rsidRPr="00F801B5">
        <w:rPr>
          <w:rFonts w:ascii="Arial" w:hAnsi="Arial" w:cs="Arial"/>
          <w:b/>
          <w:sz w:val="26"/>
          <w:szCs w:val="26"/>
        </w:rPr>
        <w:t>Охоронювані зони інженерних комунікацій</w:t>
      </w:r>
      <w:r w:rsidRPr="00F801B5">
        <w:rPr>
          <w:rFonts w:ascii="Arial" w:hAnsi="Arial" w:cs="Arial"/>
          <w:sz w:val="26"/>
          <w:szCs w:val="26"/>
        </w:rPr>
        <w:t xml:space="preserve"> – згідно з ДБН                     360-92** “Містобудування. Планування і забудова міських і сільських поселень“ (зі змінами).</w:t>
      </w:r>
      <w:r w:rsidRPr="00F801B5">
        <w:rPr>
          <w:rFonts w:ascii="Arial" w:hAnsi="Arial" w:cs="Arial"/>
          <w:color w:val="000000"/>
          <w:sz w:val="26"/>
          <w:szCs w:val="26"/>
        </w:rPr>
        <w:t xml:space="preserve"> У зону забудови </w:t>
      </w:r>
      <w:r w:rsidRPr="00F801B5">
        <w:rPr>
          <w:rFonts w:ascii="Arial" w:hAnsi="Arial" w:cs="Arial"/>
          <w:sz w:val="26"/>
          <w:szCs w:val="26"/>
        </w:rPr>
        <w:t xml:space="preserve">багатоквартирного житлового будинку на просп. В. Чорновола – вул. Замарстинівській з вбудованими приміщеннями громадського призначення (№ 11 на генплані) </w:t>
      </w:r>
      <w:r w:rsidRPr="00F801B5">
        <w:rPr>
          <w:rFonts w:ascii="Arial" w:hAnsi="Arial" w:cs="Arial"/>
          <w:color w:val="000000"/>
          <w:sz w:val="26"/>
          <w:szCs w:val="26"/>
        </w:rPr>
        <w:t xml:space="preserve">потрапляють інженерні мережі – при необхідності передбачити винесення на нормативну відстань відповідно до вимог </w:t>
      </w:r>
      <w:r w:rsidRPr="00F801B5">
        <w:rPr>
          <w:rFonts w:ascii="Arial" w:hAnsi="Arial" w:cs="Arial"/>
          <w:sz w:val="26"/>
          <w:szCs w:val="26"/>
        </w:rPr>
        <w:t xml:space="preserve">додатка 8.1 </w:t>
      </w:r>
      <w:r w:rsidRPr="00F801B5">
        <w:rPr>
          <w:rFonts w:ascii="Arial" w:hAnsi="Arial" w:cs="Arial"/>
          <w:color w:val="000000"/>
          <w:sz w:val="26"/>
          <w:szCs w:val="26"/>
        </w:rPr>
        <w:t>ДБН 360-92** “Містобудування. Планування і забудова міських і сільських поселень“ (зі змінами).</w:t>
      </w:r>
    </w:p>
    <w:p w:rsidR="001A2497" w:rsidRPr="00F801B5" w:rsidRDefault="001A2497" w:rsidP="00B3540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2.8. </w:t>
      </w:r>
      <w:r w:rsidRPr="00F801B5">
        <w:rPr>
          <w:rFonts w:ascii="Arial" w:hAnsi="Arial" w:cs="Arial"/>
          <w:b/>
          <w:sz w:val="26"/>
          <w:szCs w:val="26"/>
        </w:rPr>
        <w:t>Вимоги до необхідності проведення інженерних вишукувань згідно з державними будівельними нормами ДБН А.2.1-1-2008 “Інженерні вишукування для будівництва“</w:t>
      </w:r>
      <w:r w:rsidRPr="00F801B5">
        <w:rPr>
          <w:rFonts w:ascii="Arial" w:hAnsi="Arial" w:cs="Arial"/>
          <w:sz w:val="26"/>
          <w:szCs w:val="26"/>
        </w:rPr>
        <w:t xml:space="preserve"> – відповідно до вимог державних будівельних норм.</w:t>
      </w:r>
    </w:p>
    <w:p w:rsidR="001A2497" w:rsidRPr="00F801B5" w:rsidRDefault="001A2497" w:rsidP="00B3540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2.9. </w:t>
      </w:r>
      <w:r w:rsidRPr="00F801B5">
        <w:rPr>
          <w:rFonts w:ascii="Arial" w:hAnsi="Arial" w:cs="Arial"/>
          <w:b/>
          <w:sz w:val="26"/>
          <w:szCs w:val="26"/>
        </w:rPr>
        <w:t>Вимоги щодо благоустрою (у тому числі щодо відновлення благоустрою)</w:t>
      </w:r>
      <w:r w:rsidRPr="00F801B5">
        <w:rPr>
          <w:rFonts w:ascii="Arial" w:hAnsi="Arial" w:cs="Arial"/>
          <w:sz w:val="26"/>
          <w:szCs w:val="26"/>
        </w:rPr>
        <w:t xml:space="preserve"> – передбачити комплексний благоустрій території в ув’язці з існуючим благоустроєм просп. В. Чорновола, вул. Замарстинівської та вул. Ремісничої з влаштуванням малих архітектурних форм (урни для сміття, ліхтарі тощо), мощення проїздів передбачити асфальтобетоном, тротуарів – фігурними елементами замощення. Розробити проект вертикального планування території з відводом поверхневих вод у дощову каналізацію та проект зовнішнього освітлення території. </w:t>
      </w:r>
    </w:p>
    <w:p w:rsidR="001A2497" w:rsidRPr="00F801B5" w:rsidRDefault="001A2497" w:rsidP="00B3540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Передбачити нормативне розміщення відпочинкового, господарського, дитячого ігрового майданчиків та нормативну кількість машино-місць для тимчасового та постійного зберігання автотранспорту відповідно до вимог ДБН 360-92** “Містобудування. Планування і забудова міських і сільських поселень“ (зі змінами). </w:t>
      </w:r>
    </w:p>
    <w:p w:rsidR="001A2497" w:rsidRPr="00F801B5" w:rsidRDefault="001A2497" w:rsidP="00B3540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Благоустрій території виконати відповідно до ухвали міської ради від 21.04.2011 № 376 “Про Правила благоустрою м. Львова“.</w:t>
      </w:r>
    </w:p>
    <w:p w:rsidR="001A2497" w:rsidRPr="00F801B5" w:rsidRDefault="001A2497" w:rsidP="00B3540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2.10. </w:t>
      </w:r>
      <w:r w:rsidRPr="00F801B5">
        <w:rPr>
          <w:rFonts w:ascii="Arial" w:hAnsi="Arial" w:cs="Arial"/>
          <w:b/>
          <w:sz w:val="26"/>
          <w:szCs w:val="26"/>
        </w:rPr>
        <w:t>Забезпечення умов транспортно-пішохідного зв’язку</w:t>
      </w:r>
      <w:r w:rsidRPr="00F801B5">
        <w:rPr>
          <w:rFonts w:ascii="Arial" w:hAnsi="Arial" w:cs="Arial"/>
          <w:sz w:val="26"/>
          <w:szCs w:val="26"/>
        </w:rPr>
        <w:t xml:space="preserve"> – під</w:t>
      </w:r>
      <w:r w:rsidRPr="00F801B5">
        <w:rPr>
          <w:rFonts w:ascii="Arial" w:hAnsi="Arial" w:cs="Arial"/>
          <w:bCs/>
          <w:sz w:val="26"/>
          <w:szCs w:val="26"/>
        </w:rPr>
        <w:t>’</w:t>
      </w:r>
      <w:r w:rsidRPr="00F801B5">
        <w:rPr>
          <w:rFonts w:ascii="Arial" w:hAnsi="Arial" w:cs="Arial"/>
          <w:sz w:val="26"/>
          <w:szCs w:val="26"/>
        </w:rPr>
        <w:t>їзди та підходи до проектованого об</w:t>
      </w:r>
      <w:r w:rsidRPr="00F801B5">
        <w:rPr>
          <w:rFonts w:ascii="Arial" w:hAnsi="Arial" w:cs="Arial"/>
          <w:bCs/>
          <w:sz w:val="26"/>
          <w:szCs w:val="26"/>
        </w:rPr>
        <w:t>’</w:t>
      </w:r>
      <w:r w:rsidRPr="00F801B5">
        <w:rPr>
          <w:rFonts w:ascii="Arial" w:hAnsi="Arial" w:cs="Arial"/>
          <w:sz w:val="26"/>
          <w:szCs w:val="26"/>
        </w:rPr>
        <w:t xml:space="preserve">єкта передбачити з боку вул. Ремісничої та вул. Замарстинівської. 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Проектом передбачити нормативну кількість машино-місць для тимчасового та постійного зберігання автотранспорту відповідно до вимог ДБН 360-92** “Містобудування. Планування і забудова міських і сільських поселень“ (зі змінами) та розміщення стоянок для велосипедів відповідно до вимог ухвали міської ради від 03.06.2010 № 3552 “Про Концепцію розвитку велосипедного руху і облаштування велосипедної інфраструктури у м. Львові“.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lastRenderedPageBreak/>
        <w:t xml:space="preserve">2.11. </w:t>
      </w:r>
      <w:r w:rsidRPr="00F801B5">
        <w:rPr>
          <w:rFonts w:ascii="Arial" w:hAnsi="Arial" w:cs="Arial"/>
          <w:b/>
          <w:sz w:val="26"/>
          <w:szCs w:val="26"/>
        </w:rPr>
        <w:t>Вимоги щодо забезпечення необхідною кількістю місць зберігання автотранспорту</w:t>
      </w:r>
      <w:r w:rsidRPr="00F801B5">
        <w:rPr>
          <w:rFonts w:ascii="Arial" w:hAnsi="Arial" w:cs="Arial"/>
          <w:sz w:val="26"/>
          <w:szCs w:val="26"/>
        </w:rPr>
        <w:t xml:space="preserve"> – </w:t>
      </w:r>
      <w:r w:rsidRPr="00F801B5">
        <w:rPr>
          <w:rFonts w:ascii="Arial" w:hAnsi="Arial" w:cs="Arial"/>
          <w:sz w:val="26"/>
          <w:szCs w:val="26"/>
          <w:lang w:eastAsia="uk-UA"/>
        </w:rPr>
        <w:t xml:space="preserve">проектом передбачити нормативну кількість машино-місць для </w:t>
      </w:r>
      <w:r w:rsidRPr="00F801B5">
        <w:rPr>
          <w:rFonts w:ascii="Arial" w:hAnsi="Arial" w:cs="Arial"/>
          <w:sz w:val="26"/>
          <w:szCs w:val="26"/>
        </w:rPr>
        <w:t xml:space="preserve">постійного та тимчасового зберігання автотранспорту для проектованого житлового будинку з вбудованими приміщеннями громадського призначення відповідно до вимог ДБН 360-92** “Містобудування. Планування і забудова міських і сільських поселень“ (зі змінами). 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2.12</w:t>
      </w:r>
      <w:r w:rsidRPr="00F801B5">
        <w:rPr>
          <w:rFonts w:ascii="Arial" w:hAnsi="Arial" w:cs="Arial"/>
          <w:b/>
          <w:sz w:val="26"/>
          <w:szCs w:val="26"/>
        </w:rPr>
        <w:t>. Вимоги щодо охорони культурної спадщини</w:t>
      </w:r>
      <w:r w:rsidRPr="00F801B5">
        <w:rPr>
          <w:rFonts w:ascii="Arial" w:hAnsi="Arial" w:cs="Arial"/>
          <w:sz w:val="26"/>
          <w:szCs w:val="26"/>
        </w:rPr>
        <w:t xml:space="preserve"> – будівництво житлового комплексу на просп. В. Чорновола – вул. Замарстинівській передбачено поза межами історичного ареалу міста.</w:t>
      </w:r>
    </w:p>
    <w:p w:rsidR="001A2497" w:rsidRPr="00F801B5" w:rsidRDefault="001A2497" w:rsidP="000B0C6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2.13. </w:t>
      </w:r>
      <w:r w:rsidRPr="00F801B5">
        <w:rPr>
          <w:rFonts w:ascii="Arial" w:hAnsi="Arial" w:cs="Arial"/>
          <w:b/>
          <w:sz w:val="26"/>
          <w:szCs w:val="26"/>
        </w:rPr>
        <w:t>Вимоги щодо створення безперешкодного життєвого середовища для осіб з обмеженими фізичними можливостями та інших маломобільних груп населення</w:t>
      </w:r>
      <w:r w:rsidRPr="00F801B5">
        <w:rPr>
          <w:rFonts w:ascii="Arial" w:hAnsi="Arial" w:cs="Arial"/>
          <w:sz w:val="26"/>
          <w:szCs w:val="26"/>
        </w:rPr>
        <w:t xml:space="preserve"> – забезпечити умови для вільного пересування інвалідів та інших маломобільних груп населення згідно з вимогами ДБН В.2.2-17:2006 “Доступність будинків і споруд для маломобільних груп населення“ (вільний доступ маломобільних груп населення до всіх приміщень загального користування будинку тощо).</w:t>
      </w: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виконкому</w:t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  <w:t>М. Литвинюк</w:t>
      </w: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Віза:</w:t>
      </w: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</w:p>
    <w:p w:rsidR="001A2497" w:rsidRPr="00F801B5" w:rsidRDefault="001A2497" w:rsidP="000B0C64">
      <w:pPr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Начальник управління</w:t>
      </w:r>
    </w:p>
    <w:p w:rsidR="001A2497" w:rsidRPr="00F801B5" w:rsidRDefault="001A2497" w:rsidP="00AD1FCA">
      <w:pPr>
        <w:jc w:val="both"/>
        <w:rPr>
          <w:rFonts w:ascii="Arial" w:hAnsi="Arial" w:cs="Arial"/>
          <w:sz w:val="26"/>
          <w:szCs w:val="26"/>
        </w:rPr>
      </w:pPr>
      <w:r w:rsidRPr="00F801B5">
        <w:rPr>
          <w:rFonts w:ascii="Arial" w:hAnsi="Arial" w:cs="Arial"/>
          <w:sz w:val="26"/>
          <w:szCs w:val="26"/>
        </w:rPr>
        <w:t>архітектури та урбаністики</w:t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</w:r>
      <w:r w:rsidRPr="00F801B5">
        <w:rPr>
          <w:rFonts w:ascii="Arial" w:hAnsi="Arial" w:cs="Arial"/>
          <w:sz w:val="26"/>
          <w:szCs w:val="26"/>
        </w:rPr>
        <w:tab/>
        <w:t>Ю. Чаплінський</w:t>
      </w:r>
    </w:p>
    <w:sectPr w:rsidR="001A2497" w:rsidRPr="00F801B5" w:rsidSect="00812223">
      <w:headerReference w:type="default" r:id="rId7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6D" w:rsidRDefault="00330E6D" w:rsidP="00CD7E20">
      <w:r>
        <w:separator/>
      </w:r>
    </w:p>
  </w:endnote>
  <w:endnote w:type="continuationSeparator" w:id="0">
    <w:p w:rsidR="00330E6D" w:rsidRDefault="00330E6D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6D" w:rsidRDefault="00330E6D" w:rsidP="00CD7E20">
      <w:r>
        <w:separator/>
      </w:r>
    </w:p>
  </w:footnote>
  <w:footnote w:type="continuationSeparator" w:id="0">
    <w:p w:rsidR="00330E6D" w:rsidRDefault="00330E6D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497" w:rsidRDefault="00330E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801B5" w:rsidRPr="00F801B5">
      <w:rPr>
        <w:noProof/>
        <w:lang w:val="ru-RU"/>
      </w:rPr>
      <w:t>5</w:t>
    </w:r>
    <w:r>
      <w:rPr>
        <w:noProof/>
        <w:lang w:val="ru-RU"/>
      </w:rPr>
      <w:fldChar w:fldCharType="end"/>
    </w:r>
  </w:p>
  <w:p w:rsidR="001A2497" w:rsidRDefault="001A24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123AA"/>
    <w:rsid w:val="00034978"/>
    <w:rsid w:val="000456B8"/>
    <w:rsid w:val="000616FD"/>
    <w:rsid w:val="0008377B"/>
    <w:rsid w:val="000B0C64"/>
    <w:rsid w:val="000D0717"/>
    <w:rsid w:val="000D2B5D"/>
    <w:rsid w:val="00143AF1"/>
    <w:rsid w:val="0014631A"/>
    <w:rsid w:val="00177010"/>
    <w:rsid w:val="00182AC4"/>
    <w:rsid w:val="001856A3"/>
    <w:rsid w:val="001A2497"/>
    <w:rsid w:val="001A3DCD"/>
    <w:rsid w:val="001A4DA4"/>
    <w:rsid w:val="001C6019"/>
    <w:rsid w:val="001E462F"/>
    <w:rsid w:val="00212B17"/>
    <w:rsid w:val="002226DA"/>
    <w:rsid w:val="002259FB"/>
    <w:rsid w:val="002327E9"/>
    <w:rsid w:val="00234A50"/>
    <w:rsid w:val="00242366"/>
    <w:rsid w:val="002547EA"/>
    <w:rsid w:val="00267BC1"/>
    <w:rsid w:val="002B763F"/>
    <w:rsid w:val="002D3428"/>
    <w:rsid w:val="002E3B57"/>
    <w:rsid w:val="00306818"/>
    <w:rsid w:val="00317150"/>
    <w:rsid w:val="00330E6D"/>
    <w:rsid w:val="003B6F11"/>
    <w:rsid w:val="004036D6"/>
    <w:rsid w:val="00434525"/>
    <w:rsid w:val="00434E94"/>
    <w:rsid w:val="00440650"/>
    <w:rsid w:val="004B2FB2"/>
    <w:rsid w:val="004B60BC"/>
    <w:rsid w:val="004C6A64"/>
    <w:rsid w:val="004D008F"/>
    <w:rsid w:val="004D70A1"/>
    <w:rsid w:val="005051C1"/>
    <w:rsid w:val="0051018F"/>
    <w:rsid w:val="00534EE8"/>
    <w:rsid w:val="005623C5"/>
    <w:rsid w:val="00576198"/>
    <w:rsid w:val="005A684D"/>
    <w:rsid w:val="005B2D98"/>
    <w:rsid w:val="005E078F"/>
    <w:rsid w:val="005F35FA"/>
    <w:rsid w:val="00620FEB"/>
    <w:rsid w:val="00626E0F"/>
    <w:rsid w:val="00634D23"/>
    <w:rsid w:val="006602C0"/>
    <w:rsid w:val="00670F01"/>
    <w:rsid w:val="00671A88"/>
    <w:rsid w:val="00680D57"/>
    <w:rsid w:val="006A32D9"/>
    <w:rsid w:val="006E3229"/>
    <w:rsid w:val="006E61D5"/>
    <w:rsid w:val="00734379"/>
    <w:rsid w:val="007367B3"/>
    <w:rsid w:val="007564C3"/>
    <w:rsid w:val="00781965"/>
    <w:rsid w:val="00786573"/>
    <w:rsid w:val="007B4C5B"/>
    <w:rsid w:val="007C39F1"/>
    <w:rsid w:val="007D059D"/>
    <w:rsid w:val="007E500B"/>
    <w:rsid w:val="00803AE6"/>
    <w:rsid w:val="00812223"/>
    <w:rsid w:val="00816D2F"/>
    <w:rsid w:val="00817949"/>
    <w:rsid w:val="00830764"/>
    <w:rsid w:val="00851206"/>
    <w:rsid w:val="00873B0F"/>
    <w:rsid w:val="00885B67"/>
    <w:rsid w:val="008942DC"/>
    <w:rsid w:val="00952026"/>
    <w:rsid w:val="009723F5"/>
    <w:rsid w:val="009F4476"/>
    <w:rsid w:val="00A0180D"/>
    <w:rsid w:val="00A06C02"/>
    <w:rsid w:val="00A76FEE"/>
    <w:rsid w:val="00A82A6F"/>
    <w:rsid w:val="00AA33DD"/>
    <w:rsid w:val="00AC691C"/>
    <w:rsid w:val="00AD1FCA"/>
    <w:rsid w:val="00AD20ED"/>
    <w:rsid w:val="00B03CB5"/>
    <w:rsid w:val="00B24DE5"/>
    <w:rsid w:val="00B34797"/>
    <w:rsid w:val="00B34EAD"/>
    <w:rsid w:val="00B34FF7"/>
    <w:rsid w:val="00B35401"/>
    <w:rsid w:val="00B507CE"/>
    <w:rsid w:val="00B8045E"/>
    <w:rsid w:val="00B82AFC"/>
    <w:rsid w:val="00B91D2F"/>
    <w:rsid w:val="00B939F9"/>
    <w:rsid w:val="00BE0403"/>
    <w:rsid w:val="00C33163"/>
    <w:rsid w:val="00C44EE9"/>
    <w:rsid w:val="00C631CC"/>
    <w:rsid w:val="00C70423"/>
    <w:rsid w:val="00C7403B"/>
    <w:rsid w:val="00C771E8"/>
    <w:rsid w:val="00C87E20"/>
    <w:rsid w:val="00C93922"/>
    <w:rsid w:val="00CC33CA"/>
    <w:rsid w:val="00CD7E20"/>
    <w:rsid w:val="00D12BC9"/>
    <w:rsid w:val="00D336F4"/>
    <w:rsid w:val="00D36D07"/>
    <w:rsid w:val="00D43DA2"/>
    <w:rsid w:val="00D72E99"/>
    <w:rsid w:val="00DB10BC"/>
    <w:rsid w:val="00DD5F76"/>
    <w:rsid w:val="00DF653F"/>
    <w:rsid w:val="00E1209C"/>
    <w:rsid w:val="00E51FEE"/>
    <w:rsid w:val="00E604A9"/>
    <w:rsid w:val="00EB7F8F"/>
    <w:rsid w:val="00EC09DA"/>
    <w:rsid w:val="00F03D3F"/>
    <w:rsid w:val="00F164DB"/>
    <w:rsid w:val="00F17C5E"/>
    <w:rsid w:val="00F231A0"/>
    <w:rsid w:val="00F436A4"/>
    <w:rsid w:val="00F72210"/>
    <w:rsid w:val="00F801B5"/>
    <w:rsid w:val="00F87187"/>
    <w:rsid w:val="00F87DD1"/>
    <w:rsid w:val="00F9297B"/>
    <w:rsid w:val="00F92BAE"/>
    <w:rsid w:val="00FB7A25"/>
    <w:rsid w:val="00FE6768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C45D14"/>
  <w15:docId w15:val="{B647905C-ECB3-4E5A-95FD-085C845B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436A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436A4"/>
    <w:rPr>
      <w:rFonts w:ascii="Calibri Light" w:hAnsi="Calibri Light" w:cs="Times New Roman"/>
      <w:color w:val="2E74B5"/>
      <w:sz w:val="32"/>
      <w:szCs w:val="32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B507CE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99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uiPriority w:val="99"/>
    <w:qFormat/>
    <w:rsid w:val="00F231A0"/>
    <w:rPr>
      <w:rFonts w:cs="Times New Roman"/>
      <w:i/>
      <w:iCs/>
      <w:color w:val="5B9BD5"/>
    </w:rPr>
  </w:style>
  <w:style w:type="paragraph" w:styleId="ad">
    <w:name w:val="Body Text"/>
    <w:basedOn w:val="a"/>
    <w:link w:val="ae"/>
    <w:uiPriority w:val="99"/>
    <w:semiHidden/>
    <w:rsid w:val="00B34F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e">
    <w:name w:val="Основний текст Знак"/>
    <w:link w:val="ad"/>
    <w:uiPriority w:val="99"/>
    <w:semiHidden/>
    <w:locked/>
    <w:rsid w:val="00B34FF7"/>
    <w:rPr>
      <w:rFonts w:ascii="Times New Roman" w:eastAsia="MS Mincho" w:hAnsi="Times New Roman" w:cs="Times New Roman"/>
      <w:lang w:val="ru-RU" w:eastAsia="ru-RU" w:bidi="ar-SA"/>
    </w:rPr>
  </w:style>
  <w:style w:type="paragraph" w:styleId="2">
    <w:name w:val="Body Text 2"/>
    <w:basedOn w:val="a"/>
    <w:link w:val="20"/>
    <w:uiPriority w:val="99"/>
    <w:semiHidden/>
    <w:rsid w:val="00B34F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0">
    <w:name w:val="Основний текст 2 Знак"/>
    <w:link w:val="2"/>
    <w:uiPriority w:val="99"/>
    <w:semiHidden/>
    <w:locked/>
    <w:rsid w:val="00B34FF7"/>
    <w:rPr>
      <w:rFonts w:ascii="Times New Roman" w:eastAsia="MS Mincho" w:hAnsi="Times New Roman" w:cs="Times New Roman"/>
      <w:lang w:val="ru-RU" w:eastAsia="ru-RU" w:bidi="ar-SA"/>
    </w:rPr>
  </w:style>
  <w:style w:type="paragraph" w:customStyle="1" w:styleId="rvps14">
    <w:name w:val="rvps14"/>
    <w:basedOn w:val="a"/>
    <w:uiPriority w:val="99"/>
    <w:rsid w:val="000B0C64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7401</Words>
  <Characters>4219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14</cp:revision>
  <cp:lastPrinted>2017-06-01T07:56:00Z</cp:lastPrinted>
  <dcterms:created xsi:type="dcterms:W3CDTF">2017-05-31T12:31:00Z</dcterms:created>
  <dcterms:modified xsi:type="dcterms:W3CDTF">2024-01-18T09:13:00Z</dcterms:modified>
</cp:coreProperties>
</file>