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94" w:rsidRPr="00F93C0E" w:rsidRDefault="004801C6" w:rsidP="00947994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947994" w:rsidRPr="00F93C0E">
        <w:rPr>
          <w:rFonts w:ascii="Arial" w:hAnsi="Arial" w:cs="Arial"/>
          <w:sz w:val="26"/>
          <w:szCs w:val="26"/>
        </w:rPr>
        <w:t>Додаток</w:t>
      </w:r>
      <w:r w:rsidR="003011EB" w:rsidRPr="00F93C0E">
        <w:rPr>
          <w:rFonts w:ascii="Arial" w:hAnsi="Arial" w:cs="Arial"/>
          <w:sz w:val="26"/>
          <w:szCs w:val="26"/>
        </w:rPr>
        <w:t xml:space="preserve"> 1</w:t>
      </w:r>
    </w:p>
    <w:p w:rsidR="00947994" w:rsidRPr="00F93C0E" w:rsidRDefault="00947994" w:rsidP="00947994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F93C0E">
        <w:rPr>
          <w:rFonts w:ascii="Arial" w:hAnsi="Arial" w:cs="Arial"/>
          <w:sz w:val="26"/>
          <w:szCs w:val="26"/>
        </w:rPr>
        <w:t xml:space="preserve">Затверджено </w:t>
      </w:r>
    </w:p>
    <w:p w:rsidR="00947994" w:rsidRPr="00F93C0E" w:rsidRDefault="00947994" w:rsidP="00947994">
      <w:pPr>
        <w:ind w:left="6379"/>
        <w:jc w:val="both"/>
        <w:rPr>
          <w:rFonts w:ascii="Arial" w:hAnsi="Arial" w:cs="Arial"/>
          <w:sz w:val="26"/>
          <w:szCs w:val="26"/>
        </w:rPr>
      </w:pPr>
      <w:r w:rsidRPr="00F93C0E">
        <w:rPr>
          <w:rFonts w:ascii="Arial" w:hAnsi="Arial" w:cs="Arial"/>
          <w:sz w:val="26"/>
          <w:szCs w:val="26"/>
        </w:rPr>
        <w:t>ухвалою  міської  ради</w:t>
      </w:r>
    </w:p>
    <w:p w:rsidR="00947994" w:rsidRPr="00F93C0E" w:rsidRDefault="00947994" w:rsidP="00947994">
      <w:pPr>
        <w:ind w:left="6379"/>
        <w:jc w:val="both"/>
        <w:rPr>
          <w:rFonts w:ascii="Arial" w:hAnsi="Arial" w:cs="Arial"/>
          <w:sz w:val="26"/>
          <w:szCs w:val="26"/>
        </w:rPr>
      </w:pPr>
      <w:r w:rsidRPr="00F93C0E">
        <w:rPr>
          <w:rFonts w:ascii="Arial" w:hAnsi="Arial" w:cs="Arial"/>
          <w:sz w:val="26"/>
          <w:szCs w:val="26"/>
        </w:rPr>
        <w:t>від ___________№____</w:t>
      </w:r>
    </w:p>
    <w:p w:rsidR="003011EB" w:rsidRPr="00F93C0E" w:rsidRDefault="003011EB" w:rsidP="003011EB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</w:p>
    <w:p w:rsidR="003011EB" w:rsidRPr="00F93C0E" w:rsidRDefault="003011EB" w:rsidP="003011EB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</w:p>
    <w:p w:rsidR="003011EB" w:rsidRPr="00F93C0E" w:rsidRDefault="003011EB" w:rsidP="003011EB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  <w:r w:rsidRPr="00F93C0E">
        <w:rPr>
          <w:rFonts w:ascii="Arial" w:hAnsi="Arial" w:cs="Arial"/>
          <w:sz w:val="26"/>
          <w:szCs w:val="26"/>
          <w:lang w:eastAsia="uk-UA"/>
        </w:rPr>
        <w:t>ПОЛОЖЕННЯ</w:t>
      </w:r>
    </w:p>
    <w:p w:rsidR="003011EB" w:rsidRPr="00F93C0E" w:rsidRDefault="003011EB" w:rsidP="003011EB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  <w:r w:rsidRPr="00F93C0E">
        <w:rPr>
          <w:rFonts w:ascii="Arial" w:hAnsi="Arial" w:cs="Arial"/>
          <w:sz w:val="26"/>
          <w:szCs w:val="26"/>
          <w:lang w:eastAsia="uk-UA"/>
        </w:rPr>
        <w:t>про порядок над</w:t>
      </w:r>
      <w:r w:rsidR="00F93C0E" w:rsidRPr="00F93C0E">
        <w:rPr>
          <w:rFonts w:ascii="Arial" w:hAnsi="Arial" w:cs="Arial"/>
          <w:sz w:val="26"/>
          <w:szCs w:val="26"/>
          <w:lang w:eastAsia="uk-UA"/>
        </w:rPr>
        <w:t>ання послуг у сфері відпочинку та</w:t>
      </w:r>
      <w:r w:rsidRPr="00F93C0E">
        <w:rPr>
          <w:rFonts w:ascii="Arial" w:hAnsi="Arial" w:cs="Arial"/>
          <w:sz w:val="26"/>
          <w:szCs w:val="26"/>
          <w:lang w:eastAsia="uk-UA"/>
        </w:rPr>
        <w:t xml:space="preserve"> розваг на території Львівської міської територіальної громади</w:t>
      </w:r>
    </w:p>
    <w:p w:rsidR="003011EB" w:rsidRPr="00F93C0E" w:rsidRDefault="003011EB" w:rsidP="003011EB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</w:p>
    <w:p w:rsidR="003011EB" w:rsidRPr="00F93C0E" w:rsidRDefault="003011EB" w:rsidP="003011EB">
      <w:pPr>
        <w:shd w:val="clear" w:color="auto" w:fill="FFFFFF"/>
        <w:jc w:val="center"/>
        <w:rPr>
          <w:rFonts w:ascii="Arial" w:hAnsi="Arial" w:cs="Arial"/>
          <w:b/>
          <w:bCs/>
          <w:sz w:val="26"/>
          <w:szCs w:val="26"/>
          <w:lang w:eastAsia="uk-UA"/>
        </w:rPr>
      </w:pPr>
      <w:r w:rsidRPr="00F93C0E">
        <w:rPr>
          <w:rFonts w:ascii="Arial" w:hAnsi="Arial" w:cs="Arial"/>
          <w:b/>
          <w:bCs/>
          <w:sz w:val="26"/>
          <w:szCs w:val="26"/>
          <w:lang w:eastAsia="uk-UA"/>
        </w:rPr>
        <w:t xml:space="preserve">1. Загальні положення </w:t>
      </w:r>
    </w:p>
    <w:p w:rsidR="003011EB" w:rsidRPr="00F93C0E" w:rsidRDefault="003011EB" w:rsidP="003011EB">
      <w:pPr>
        <w:shd w:val="clear" w:color="auto" w:fill="FFFFFF"/>
        <w:jc w:val="center"/>
        <w:rPr>
          <w:rFonts w:ascii="Arial" w:hAnsi="Arial" w:cs="Arial"/>
          <w:b/>
          <w:bCs/>
          <w:sz w:val="26"/>
          <w:szCs w:val="26"/>
          <w:lang w:eastAsia="uk-UA"/>
        </w:rPr>
      </w:pP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1.1</w:t>
      </w:r>
      <w:r w:rsidR="0073501C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Положення про порядок над</w:t>
      </w:r>
      <w:r w:rsidR="00F93C0E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ання послуг у сфері відпочинку та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розваг на території Львівської міської територіальної громади (надалі – Положення) визначає механізм підготовки документів та процедуру проведення аукціону з використанням електронної торгової системи Prozorro.Продажі на оформлення права на оренду окремих конструктивних елементів благоустрою для розміщення об’єктів над</w:t>
      </w:r>
      <w:r w:rsidR="00F93C0E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ання послуг у сфері відпочинку та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розваг на території Львівської міської територіальної громади.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1.2. Метою цього Положення є: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1.2.1. Встановлення правил над</w:t>
      </w:r>
      <w:r w:rsidR="00F93C0E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ання послуг у сфері відпочинку та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розваг на території Львівської міської територіальної громади з врахуванням вимог законодавства України.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1.2.2. Створення комфортних умов співіснування мешканців, надав</w:t>
      </w:r>
      <w:r w:rsidR="00F93C0E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ачів послуг у сфері відпочинку і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розваг, гостей міста.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1.2.3. Визначення місць над</w:t>
      </w:r>
      <w:r w:rsidR="00F93C0E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ання послуг у сфері відпочинку та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розваг у громадських місцях на території Львівської міської територіальної громади з врахуванням туристичного навантаження на території історичного ареалу </w:t>
      </w:r>
      <w:r w:rsidR="00F93C0E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             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м. Львова.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1.2.4. Визначення порядку підготовки документів та процедури проведення аукціону з використанням електронної торгової системи Prozorro.Продажі.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1.3. Діяльність з надання послуг у сфері відпочинку і розваг включає надання розважальних послуг, зокрема: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1.3.1. Діяльність у сфері фотографії.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1.3.2. Діяльність аніматорів.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1.3.3. Діяльність у сфері розповсюдження розважальної продукції.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1.4</w:t>
      </w:r>
      <w:r w:rsidR="0073501C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Наведені у Положенні терміни вживаються у такому значенні: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1.4.1.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П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ослуги у сфері відпочинку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(надалі 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‒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ПВР) – це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послуги, які передбачені цим Положенням та надаються суб'єктами господарювання, без облаштування закритого приміщення для тимчасового перебування людей на території Львівської міської територіальної громади.</w:t>
      </w:r>
    </w:p>
    <w:p w:rsidR="003011EB" w:rsidRPr="00F93C0E" w:rsidRDefault="00F93C0E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1.4.2. 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О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б’єкт 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надання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послуг у сфері відпочинку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та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розваг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(надалі 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‒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Об'єкт) – це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обладнання, пристрій або засіб, який використовується суб'єктом господарювання для надання послуг у сфері відпочинку і розваг.</w:t>
      </w:r>
    </w:p>
    <w:p w:rsidR="00F97DD5" w:rsidRDefault="00F97DD5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bookmarkStart w:id="0" w:name="_GoBack"/>
      <w:bookmarkEnd w:id="0"/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lastRenderedPageBreak/>
        <w:t>1.4.3.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М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ісце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послуг у сфері відпочинку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‒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окремий конструктивний елемент благоустрою, який використовується суб'єктом господарювання для надання послуг у сфері відпочинку і розваг.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1.4.4.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А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укціон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– форма проведення торгів, за якою лот (група лотів) продається учаснику, котрий запропонував за нього найвищу ціну, зафіксовану під час проведення торгів в електронній тор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говій с</w:t>
      </w:r>
      <w:r w:rsidR="00E51E95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истемі Prozorro.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Продажі.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1.4.5.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Гарантійний внесок ‒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 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спосіб забезпечення виконання уча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сником зобов’язань щодо участі в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електронному аукціоні, що підлягає внесенню користувачем для набуття статусу учасника електронного аукціону 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способом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перерахування (або донарахування) коштів на рахунок оператора електронного майданчика. Гарантійний внесок встановлюється організатором аукціону у розмірі 10 % від стартової ціни лота та зазначається в умовах продажу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/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 в оренду майна (активів)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/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передачі права та оголошенні про проведення аукціону.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1.4.6. 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О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кремі конструктивні елементи благоустрою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– визначені місця комунальної власності для винесення на аукціон для 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 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перебувають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приватній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або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користуванні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третіх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осіб,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вільні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забудови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поширюються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третіх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осіб.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1.4.7.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К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рок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аукціону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–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мінімальна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надбавка,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під час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електронного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може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здійснюватися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підвищення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цінової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пропозиції.</w:t>
      </w:r>
    </w:p>
    <w:p w:rsidR="003011EB" w:rsidRPr="00F93C0E" w:rsidRDefault="00F93C0E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1.4.8. Л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от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–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право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окремого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конструктивного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розваг,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тип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характеристики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об’єкта,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адреса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площі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якого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визначені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рішенням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виконавчого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комітету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Львівської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міської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ради.</w:t>
      </w:r>
    </w:p>
    <w:p w:rsidR="003011EB" w:rsidRPr="00F93C0E" w:rsidRDefault="00F93C0E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1.4.9. О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ренда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окремих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конструктивних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елементів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благоустрою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–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засноване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договорі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строкове,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платне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користування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частиною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окремого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конструктивного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благоустрою,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необхідною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орендареві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1.4.10.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О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рендар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–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фізична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особа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–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підприємець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або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юридична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особа,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якій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підставі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договору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належить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користування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конструктивними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елементами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1.4.11.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О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рендодавець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–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економічного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1.4.12.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П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ереможець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торгів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(надалі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–</w:t>
      </w:r>
      <w:r w:rsid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Переможець)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–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особа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числа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учасників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торгів,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результатами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торгів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запропонувала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найвищу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ціну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заявлений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лот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отримала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уклад</w:t>
      </w:r>
      <w:r w:rsidR="00E51E95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договору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лоту.</w:t>
      </w:r>
    </w:p>
    <w:p w:rsidR="003011EB" w:rsidRPr="00F93C0E" w:rsidRDefault="00F93C0E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1.4.13. С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тартова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ціна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–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розмір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місячної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плати,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затверджений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Львівською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міською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радою,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користування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окремими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конструктивними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елементами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розваг,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якої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розпочинається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продаж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лота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аукціоні.</w:t>
      </w:r>
    </w:p>
    <w:p w:rsidR="003011EB" w:rsidRPr="00465B60" w:rsidRDefault="00F93C0E" w:rsidP="00465B60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1.4.14. С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амовільно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розміщені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об’єкти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надання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послуг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у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сфері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відпочинку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та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розваг</w:t>
      </w:r>
      <w:r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–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об’єкти,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встановлені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відсутності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договору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оренди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окремих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конструктивних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елементів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3011EB"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розваг.</w:t>
      </w:r>
    </w:p>
    <w:p w:rsidR="003011EB" w:rsidRPr="00F93C0E" w:rsidRDefault="003011EB" w:rsidP="00F93C0E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lastRenderedPageBreak/>
        <w:t>2.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Підготовка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проведення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аукціону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Підготовку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документів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проведення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оформлення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здійснює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економічного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(далі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–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організатор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аукціону)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підставі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рішення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виконавчого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комітету.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2.2.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Місця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пропонують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винесення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</w:t>
      </w:r>
      <w:r w:rsidR="00E51E95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визначаються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врахуванням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вимог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санітарно-гігієнічних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норм,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правил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також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наявних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містобудівних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обмежень,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вимог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охорони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історико-культурної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спадщини.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2.3.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формування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переліку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місць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суб’єкт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господарювання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подає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Центру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адміністративних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послуг: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2.3.1.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Заяву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ім’я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начальника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культури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освіти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культури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довільної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форми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можливість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здійснення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діяльності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зазначенням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виду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адреси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чи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декількох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адрес,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мають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намір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надавати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послуги</w:t>
      </w:r>
      <w:r w:rsidR="00E51E95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площі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чи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декількох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2.3.2.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Фотовізуалізацію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пропонованого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об’єкта.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2.4.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Заявники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несуть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відповідальність,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передбачену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законодавством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України,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достовірність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документів.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2.5.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наявності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повного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пакету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документів,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передбачених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пунктами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2.3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цього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Положення,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погодженням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районними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адміністраціями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та/або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офісом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агломерації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громад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культури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освіти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культури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виносить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затвердження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виконавчого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комітету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ради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Перелік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місць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2.6.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відмову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включенні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здійснення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ПВР,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культури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освіти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культури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обов'язково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повідомляє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заявника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термін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визначений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законодавством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України,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зазначенням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причин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відмови.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Відмова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погодженні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ПВР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разі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наявності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скарг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мешканців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та/або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складених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адміністративних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протоколів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щодо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заявників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невідповідності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вимогам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законодавства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цього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Положення.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2.7.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Після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затвердження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місць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економічного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проводить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2.8.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Документація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проведення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торгів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(аукціонів)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оформлення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повинна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містити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інформацію: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2.8.1.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Опис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місця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зазначенням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площ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прив’язкою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місцевості,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вид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діяльності.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2.8.2.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Стартову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ціну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предмету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2.8.3.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суми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гарантійного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внеску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участь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аукціоні.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lastRenderedPageBreak/>
        <w:t>2.8.4.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Термін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пропозицій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учасників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участь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аукціоні.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2.8.5.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"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кроку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"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2.8.6.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Термін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предмету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2.8.7.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Проє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кт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договору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результатами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2.8.8.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Перелік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документів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участі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аукціоні.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2.8.9.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Дату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проведення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визначається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економічного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може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бути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раніше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ніж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через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10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календарних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днів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дати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оприлюднення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оголошення.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2.8.10.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Кінцевий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строк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заяви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участь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аукціоні,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встановлюється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електронною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торговою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системою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урахуванням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визначеної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дати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проведення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2.9.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Базова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вартість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(стартова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ціна)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кв.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орендованого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встановлюється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прожиткового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мінімуму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працездатних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осіб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станом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січня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поточного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року.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2.10.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Строк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становить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рік.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2.11.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реєстраційного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внеску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встановлюється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рівні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стартової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плати.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2.12.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гарантійного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внеску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встановлюється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рівні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прожиткового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мінімуму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працездатних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осіб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станом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01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січня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року,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якому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оголошується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2.13.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мінімального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кроку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встановлюється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рівні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відсотків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стартової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плати.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2.14.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випадку,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коли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з'явився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лише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один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учасник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(єдиний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претендент),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укладає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договір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таким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учасником,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єдиним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претендентом,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запропонованою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ним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закритою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ціновою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пропозицією,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але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нижче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стартової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ціни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лота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(стартової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плати).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2.15.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Решта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правил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проведення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зокрема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порядок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функціонування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електронної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торгової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системи,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порядок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заяв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участь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аукціоні,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проведення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аукціонів,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визначення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переможця,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порядок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строки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сплати,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повернення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гарантійних,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реєстраційних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внесків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визначаються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регламентом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роботи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Електронної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Торгової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Системи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Prozorro.Продажі.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2.16.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Перелік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документів,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подають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учасники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участі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аукціоні,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зазначається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документації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проведення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торгів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(аукціонів),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публікується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разом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оголошенням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Електронній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Торговій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Системі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Prozorro.Продажі.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2.17.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Переможець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(орендар),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набув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укладає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економічного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(орендодавець)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договір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про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оформлення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права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тимчасове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користування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окремими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конструктивними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елементами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умовах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оренди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згідно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формою,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наведеною 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додатку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2.18.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відсутності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заперечень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сторін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договори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про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оформлення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права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тимчасове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користування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окремими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конструктивними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елементами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lastRenderedPageBreak/>
        <w:t>благоустрою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умовах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оренди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можуть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бути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пролонговані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наступний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термін.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2.19.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Переможець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торгів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зобов’язаний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розмістити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відповідно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встановленого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місця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вимог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щодо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зовнішнього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вигляду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умов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функціонування.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2.20.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Суб’єкт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господарської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діяльності,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протягом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20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робочих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днів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уклав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уповноваженим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органом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договір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про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оформлення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права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тимчасове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користування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окремими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конструктивними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елементами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умовах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оренди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lang w:eastAsia="uk-UA"/>
        </w:rPr>
        <w:t>розваг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втрачає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можливість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укладення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такого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договору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можливість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звернутися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повторно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вказаною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(вказаними)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адресою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(адресами)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заяві.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2.21.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Якщо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переможець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уклав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договір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економічного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сплачений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ним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гарантійний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внесок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повертається.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2.22.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Нарахування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плати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проводиться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період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моменту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укладення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договору.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2.23.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Орендну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плату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користування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конструктивними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елементами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нараховує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економічного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(орендодавець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згідно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договором)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сплачує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суб’єкт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господарювання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(орендар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згідно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договором)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незалежно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факту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здійснення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господарської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діяльності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орендованій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площі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2.24.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Суб’єкт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господарювання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має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використовувати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призначенням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2.25.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Переможцю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забороняється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передавати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здійснення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господарської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діяльності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третім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особам.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3011EB" w:rsidRPr="00F93C0E" w:rsidRDefault="003011EB" w:rsidP="004E77B8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3.</w:t>
      </w:r>
      <w:r w:rsidR="00F93C0E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Умови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утримання</w:t>
      </w:r>
      <w:r w:rsidR="00F93C0E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місць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розваг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3.1.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Організація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має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відповідати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санітарним,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протипожежним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нормам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правилам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3.2.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Суб’єкти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господарювання,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яким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визначені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місця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зобов’язані: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3.2.1</w:t>
      </w:r>
      <w:r w:rsidR="00E51E95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Забезпечити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належне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утримання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території.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3.2.2.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Забезпечити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збереження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всіх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тому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числі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зелених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насаджень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території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територіальної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громади.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3.3.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Забороняється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облаштованих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газонах,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квітниках,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зелених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насадженнях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тощо.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3.4.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здійсненні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діяльності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повинно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створюватися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будь-яких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незручностей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пішоходів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проїзду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транспортних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lastRenderedPageBreak/>
        <w:t>засобів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території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громади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або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утруднюватися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чи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унеможливлюватися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утримання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чи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обслуговування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міського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пошкоджуватися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або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знищуватися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зелені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насадження.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3.5.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Усі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об’єкти,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належать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повинні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мати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належний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естетичний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вигляд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бути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технічно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справними.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3.6.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Забороняється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розваг: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3.6.1.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просп.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Свободи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тому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числі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площі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перед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Львівським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національним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академічним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театром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опери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балету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імені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Соломії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Крушельницької)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винятком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центральної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алеї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просп.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Свободи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відрізку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між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вул.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Академіка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Гнатюка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вул.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Тиктора),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Ангелів,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вул.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Шевській.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3.6.2.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Ринок.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3.7.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Забороняється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торговельного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холодильного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обладнання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місцях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ПВР.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3.8.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території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територіальної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громади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заборонені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фотопослуги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використанням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тварин.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3011EB" w:rsidRPr="00F93C0E" w:rsidRDefault="003011EB" w:rsidP="004E77B8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4.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Контроль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дотриманням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цього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Положення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відповідальність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його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порушення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4.1.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Контроль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дотриманням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вимог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цього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Положення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здійснює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підприємство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val="en-US" w:eastAsia="uk-UA"/>
        </w:rPr>
        <w:t xml:space="preserve"> "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Муніципальна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варта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val="en-US" w:eastAsia="uk-UA"/>
        </w:rPr>
        <w:t>”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районні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адміністрації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офіс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агломерації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громад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місцем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4.2.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Районні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адміністрації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офіс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агломерації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громад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виявляють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встановлені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порушенням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правил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також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самовільно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E51E95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E77B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повідомляють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підприємство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val="en-US" w:eastAsia="uk-UA"/>
        </w:rPr>
        <w:t xml:space="preserve"> "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Муніципальна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варта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val="en-US" w:eastAsia="uk-UA"/>
        </w:rPr>
        <w:t>”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4.3.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разі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виявлення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порушення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вимог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щодо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зовнішнього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вигляду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площі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конструкцій,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функціонального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призначення,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також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самовільного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інформацією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працівниками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районної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адміністрації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та/або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офісу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агломерації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громад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уповноважені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посадові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особи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підприємства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65B60">
        <w:rPr>
          <w:rFonts w:ascii="Arial" w:hAnsi="Arial" w:cs="Arial"/>
          <w:sz w:val="26"/>
          <w:szCs w:val="26"/>
          <w:shd w:val="clear" w:color="auto" w:fill="FFFFFF"/>
          <w:lang w:val="en-US" w:eastAsia="uk-UA"/>
        </w:rPr>
        <w:t xml:space="preserve"> "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Муніципальна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варта</w:t>
      </w:r>
      <w:r w:rsidR="004E77B8">
        <w:rPr>
          <w:rFonts w:ascii="Arial" w:hAnsi="Arial" w:cs="Arial"/>
          <w:sz w:val="26"/>
          <w:szCs w:val="26"/>
          <w:shd w:val="clear" w:color="auto" w:fill="FFFFFF"/>
          <w:lang w:val="en-US" w:eastAsia="uk-UA"/>
        </w:rPr>
        <w:t>"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складають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протокол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адміністративне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правопорушення,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що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повідомляють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суб’єкта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господарювання,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який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допустив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порушення,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економічного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4.4.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встановленні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фактів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порушення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переможцем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аукціону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вимог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щодо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зовнішнього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вигляду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площі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конструкцій,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функціонального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призначення,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сплати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коштів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користування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конструктивними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елементами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департаменту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економічного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розвитку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ради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припиняє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односторонньому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порядку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договір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оренди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конструктивних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елементів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благоустрою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комунальної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власності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для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території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Львівської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міської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територіальної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громади,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сплачені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кошти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повертаються.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3011EB" w:rsidRPr="00F93C0E" w:rsidRDefault="003011EB" w:rsidP="004E77B8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lastRenderedPageBreak/>
        <w:t>5.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Прикінцеві</w:t>
      </w:r>
      <w:r w:rsid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положення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5.1.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Дія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цього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Положення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поширюється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всіх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суб’єктів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господарювання,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здійснюють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діяльність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E77B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передбачених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пунктом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1.3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цього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Положення.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5.2.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Дія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цього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Положення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поширюється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випадки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надання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суб’єктами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господарювання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послуг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територіях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парків,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що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юридичними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особами,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мають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зареєстровані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встановленому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порядку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права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користування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земельними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ділянками.</w:t>
      </w:r>
    </w:p>
    <w:p w:rsidR="003011EB" w:rsidRPr="00F93C0E" w:rsidRDefault="003011EB" w:rsidP="003011E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  <w:lang w:eastAsia="uk-UA"/>
        </w:rPr>
      </w:pP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5.3.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Діяльність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сфері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відпочинку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E77B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розваг,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яка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передбачає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розміщення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атракціонів,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4E77B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тому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числі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експлуатації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спортивних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тренажерів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тощо,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здійснюється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виключно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території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парків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регулюється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окремим</w:t>
      </w:r>
      <w:r w:rsid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F93C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Положенням.</w:t>
      </w:r>
      <w:r w:rsidRPr="00F93C0E">
        <w:rPr>
          <w:rFonts w:ascii="Arial" w:hAnsi="Arial" w:cs="Arial"/>
          <w:sz w:val="26"/>
          <w:szCs w:val="26"/>
          <w:lang w:eastAsia="uk-UA"/>
        </w:rPr>
        <w:br/>
      </w:r>
    </w:p>
    <w:p w:rsidR="00FD37AB" w:rsidRPr="00F93C0E" w:rsidRDefault="00FD37AB" w:rsidP="00FD37AB">
      <w:pPr>
        <w:rPr>
          <w:rFonts w:ascii="Arial" w:hAnsi="Arial" w:cs="Arial"/>
          <w:sz w:val="26"/>
          <w:szCs w:val="26"/>
        </w:rPr>
      </w:pPr>
    </w:p>
    <w:p w:rsidR="003011EB" w:rsidRPr="00F93C0E" w:rsidRDefault="003011EB" w:rsidP="00FD37AB">
      <w:pPr>
        <w:rPr>
          <w:rFonts w:ascii="Arial" w:hAnsi="Arial" w:cs="Arial"/>
          <w:sz w:val="26"/>
          <w:szCs w:val="26"/>
        </w:rPr>
      </w:pPr>
    </w:p>
    <w:p w:rsidR="00403508" w:rsidRPr="00F93C0E" w:rsidRDefault="00403508" w:rsidP="00403508">
      <w:pPr>
        <w:rPr>
          <w:rFonts w:ascii="Arial" w:hAnsi="Arial" w:cs="Arial"/>
          <w:sz w:val="26"/>
          <w:szCs w:val="26"/>
        </w:rPr>
      </w:pPr>
      <w:r w:rsidRPr="00F93C0E">
        <w:rPr>
          <w:rFonts w:ascii="Arial" w:hAnsi="Arial" w:cs="Arial"/>
          <w:sz w:val="26"/>
          <w:szCs w:val="26"/>
        </w:rPr>
        <w:t>Секретар</w:t>
      </w:r>
      <w:r w:rsidR="00F93C0E">
        <w:rPr>
          <w:rFonts w:ascii="Arial" w:hAnsi="Arial" w:cs="Arial"/>
          <w:sz w:val="26"/>
          <w:szCs w:val="26"/>
        </w:rPr>
        <w:t xml:space="preserve"> </w:t>
      </w:r>
      <w:r w:rsidRPr="00F93C0E">
        <w:rPr>
          <w:rFonts w:ascii="Arial" w:hAnsi="Arial" w:cs="Arial"/>
          <w:sz w:val="26"/>
          <w:szCs w:val="26"/>
        </w:rPr>
        <w:t>ради</w:t>
      </w:r>
      <w:r w:rsidRPr="00F93C0E">
        <w:rPr>
          <w:rFonts w:ascii="Arial" w:hAnsi="Arial" w:cs="Arial"/>
          <w:sz w:val="26"/>
          <w:szCs w:val="26"/>
        </w:rPr>
        <w:tab/>
      </w:r>
      <w:r w:rsidRPr="00F93C0E">
        <w:rPr>
          <w:rFonts w:ascii="Arial" w:hAnsi="Arial" w:cs="Arial"/>
          <w:sz w:val="26"/>
          <w:szCs w:val="26"/>
        </w:rPr>
        <w:tab/>
      </w:r>
      <w:r w:rsidRPr="00F93C0E">
        <w:rPr>
          <w:rFonts w:ascii="Arial" w:hAnsi="Arial" w:cs="Arial"/>
          <w:sz w:val="26"/>
          <w:szCs w:val="26"/>
        </w:rPr>
        <w:tab/>
      </w:r>
      <w:r w:rsidRPr="00F93C0E">
        <w:rPr>
          <w:rFonts w:ascii="Arial" w:hAnsi="Arial" w:cs="Arial"/>
          <w:sz w:val="26"/>
          <w:szCs w:val="26"/>
        </w:rPr>
        <w:tab/>
      </w:r>
      <w:r w:rsidRPr="00F93C0E">
        <w:rPr>
          <w:rFonts w:ascii="Arial" w:hAnsi="Arial" w:cs="Arial"/>
          <w:sz w:val="26"/>
          <w:szCs w:val="26"/>
        </w:rPr>
        <w:tab/>
      </w:r>
      <w:r w:rsidRPr="00F93C0E">
        <w:rPr>
          <w:rFonts w:ascii="Arial" w:hAnsi="Arial" w:cs="Arial"/>
          <w:sz w:val="26"/>
          <w:szCs w:val="26"/>
        </w:rPr>
        <w:tab/>
      </w:r>
      <w:r w:rsidRPr="00F93C0E">
        <w:rPr>
          <w:rFonts w:ascii="Arial" w:hAnsi="Arial" w:cs="Arial"/>
          <w:sz w:val="26"/>
          <w:szCs w:val="26"/>
        </w:rPr>
        <w:tab/>
        <w:t>Маркіян</w:t>
      </w:r>
      <w:r w:rsidR="00F93C0E">
        <w:rPr>
          <w:rFonts w:ascii="Arial" w:hAnsi="Arial" w:cs="Arial"/>
          <w:sz w:val="26"/>
          <w:szCs w:val="26"/>
        </w:rPr>
        <w:t xml:space="preserve"> </w:t>
      </w:r>
      <w:r w:rsidRPr="00F93C0E">
        <w:rPr>
          <w:rFonts w:ascii="Arial" w:hAnsi="Arial" w:cs="Arial"/>
          <w:sz w:val="26"/>
          <w:szCs w:val="26"/>
        </w:rPr>
        <w:t>ЛОПАЧАК</w:t>
      </w:r>
    </w:p>
    <w:p w:rsidR="00403508" w:rsidRPr="00F93C0E" w:rsidRDefault="00403508" w:rsidP="00403508">
      <w:pPr>
        <w:rPr>
          <w:rFonts w:ascii="Arial" w:hAnsi="Arial" w:cs="Arial"/>
          <w:sz w:val="26"/>
          <w:szCs w:val="26"/>
        </w:rPr>
      </w:pPr>
    </w:p>
    <w:p w:rsidR="00403508" w:rsidRPr="00F93C0E" w:rsidRDefault="00403508" w:rsidP="00403508">
      <w:pPr>
        <w:ind w:firstLine="708"/>
        <w:rPr>
          <w:rFonts w:ascii="Arial" w:hAnsi="Arial" w:cs="Arial"/>
          <w:sz w:val="26"/>
          <w:szCs w:val="26"/>
        </w:rPr>
      </w:pPr>
      <w:r w:rsidRPr="00F93C0E">
        <w:rPr>
          <w:rFonts w:ascii="Arial" w:hAnsi="Arial" w:cs="Arial"/>
          <w:sz w:val="26"/>
          <w:szCs w:val="26"/>
        </w:rPr>
        <w:t>Віза:</w:t>
      </w:r>
    </w:p>
    <w:p w:rsidR="00403508" w:rsidRPr="00F93C0E" w:rsidRDefault="00403508" w:rsidP="00403508">
      <w:pPr>
        <w:rPr>
          <w:rFonts w:ascii="Arial" w:hAnsi="Arial" w:cs="Arial"/>
          <w:sz w:val="26"/>
          <w:szCs w:val="26"/>
        </w:rPr>
      </w:pPr>
    </w:p>
    <w:p w:rsidR="003011EB" w:rsidRPr="00F93C0E" w:rsidRDefault="003011EB" w:rsidP="00403508">
      <w:pPr>
        <w:rPr>
          <w:rFonts w:ascii="Arial" w:hAnsi="Arial" w:cs="Arial"/>
          <w:sz w:val="26"/>
          <w:szCs w:val="26"/>
        </w:rPr>
      </w:pPr>
      <w:r w:rsidRPr="00F93C0E">
        <w:rPr>
          <w:rFonts w:ascii="Arial" w:hAnsi="Arial" w:cs="Arial"/>
          <w:sz w:val="26"/>
          <w:szCs w:val="26"/>
        </w:rPr>
        <w:t>Директор</w:t>
      </w:r>
      <w:r w:rsidR="00F93C0E">
        <w:rPr>
          <w:rFonts w:ascii="Arial" w:hAnsi="Arial" w:cs="Arial"/>
          <w:sz w:val="26"/>
          <w:szCs w:val="26"/>
        </w:rPr>
        <w:t xml:space="preserve"> </w:t>
      </w:r>
      <w:r w:rsidRPr="00F93C0E">
        <w:rPr>
          <w:rFonts w:ascii="Arial" w:hAnsi="Arial" w:cs="Arial"/>
          <w:sz w:val="26"/>
          <w:szCs w:val="26"/>
        </w:rPr>
        <w:t>департаменту</w:t>
      </w:r>
      <w:r w:rsidR="00F93C0E">
        <w:rPr>
          <w:rFonts w:ascii="Arial" w:hAnsi="Arial" w:cs="Arial"/>
          <w:sz w:val="26"/>
          <w:szCs w:val="26"/>
        </w:rPr>
        <w:t xml:space="preserve"> </w:t>
      </w:r>
    </w:p>
    <w:p w:rsidR="00967E87" w:rsidRPr="00F93C0E" w:rsidRDefault="003011EB" w:rsidP="00403508">
      <w:pPr>
        <w:rPr>
          <w:rFonts w:ascii="Arial" w:hAnsi="Arial" w:cs="Arial"/>
          <w:sz w:val="26"/>
          <w:szCs w:val="26"/>
        </w:rPr>
      </w:pPr>
      <w:r w:rsidRPr="00F93C0E">
        <w:rPr>
          <w:rFonts w:ascii="Arial" w:hAnsi="Arial" w:cs="Arial"/>
          <w:sz w:val="26"/>
          <w:szCs w:val="26"/>
        </w:rPr>
        <w:t>економічного</w:t>
      </w:r>
      <w:r w:rsidR="00F93C0E">
        <w:rPr>
          <w:rFonts w:ascii="Arial" w:hAnsi="Arial" w:cs="Arial"/>
          <w:sz w:val="26"/>
          <w:szCs w:val="26"/>
        </w:rPr>
        <w:t xml:space="preserve"> </w:t>
      </w:r>
      <w:r w:rsidRPr="00F93C0E">
        <w:rPr>
          <w:rFonts w:ascii="Arial" w:hAnsi="Arial" w:cs="Arial"/>
          <w:sz w:val="26"/>
          <w:szCs w:val="26"/>
        </w:rPr>
        <w:t>розвитку</w:t>
      </w:r>
      <w:r w:rsidR="00403508" w:rsidRPr="00F93C0E">
        <w:rPr>
          <w:rFonts w:ascii="Arial" w:hAnsi="Arial" w:cs="Arial"/>
          <w:sz w:val="26"/>
          <w:szCs w:val="26"/>
        </w:rPr>
        <w:tab/>
      </w:r>
      <w:r w:rsidR="00403508" w:rsidRPr="00F93C0E">
        <w:rPr>
          <w:rFonts w:ascii="Arial" w:hAnsi="Arial" w:cs="Arial"/>
          <w:sz w:val="26"/>
          <w:szCs w:val="26"/>
        </w:rPr>
        <w:tab/>
      </w:r>
      <w:r w:rsidR="00403508" w:rsidRPr="00F93C0E">
        <w:rPr>
          <w:rFonts w:ascii="Arial" w:hAnsi="Arial" w:cs="Arial"/>
          <w:sz w:val="26"/>
          <w:szCs w:val="26"/>
        </w:rPr>
        <w:tab/>
      </w:r>
      <w:r w:rsidR="00403508" w:rsidRPr="00F93C0E">
        <w:rPr>
          <w:rFonts w:ascii="Arial" w:hAnsi="Arial" w:cs="Arial"/>
          <w:sz w:val="26"/>
          <w:szCs w:val="26"/>
        </w:rPr>
        <w:tab/>
      </w:r>
      <w:r w:rsidR="00403508" w:rsidRPr="00F93C0E">
        <w:rPr>
          <w:rFonts w:ascii="Arial" w:hAnsi="Arial" w:cs="Arial"/>
          <w:sz w:val="26"/>
          <w:szCs w:val="26"/>
        </w:rPr>
        <w:tab/>
      </w:r>
      <w:r w:rsidR="00403508" w:rsidRPr="00F93C0E">
        <w:rPr>
          <w:rFonts w:ascii="Arial" w:hAnsi="Arial" w:cs="Arial"/>
          <w:sz w:val="26"/>
          <w:szCs w:val="26"/>
        </w:rPr>
        <w:tab/>
      </w:r>
      <w:r w:rsidRPr="00F93C0E">
        <w:rPr>
          <w:rFonts w:ascii="Arial" w:hAnsi="Arial" w:cs="Arial"/>
          <w:sz w:val="26"/>
          <w:szCs w:val="26"/>
        </w:rPr>
        <w:t>Інна</w:t>
      </w:r>
      <w:r w:rsidR="00F93C0E">
        <w:rPr>
          <w:rFonts w:ascii="Arial" w:hAnsi="Arial" w:cs="Arial"/>
          <w:sz w:val="26"/>
          <w:szCs w:val="26"/>
        </w:rPr>
        <w:t xml:space="preserve"> </w:t>
      </w:r>
      <w:r w:rsidRPr="00F93C0E">
        <w:rPr>
          <w:rFonts w:ascii="Arial" w:hAnsi="Arial" w:cs="Arial"/>
          <w:sz w:val="26"/>
          <w:szCs w:val="26"/>
        </w:rPr>
        <w:t>СВИСТУН</w:t>
      </w:r>
    </w:p>
    <w:sectPr w:rsidR="00967E87" w:rsidRPr="00F93C0E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6A" w:rsidRDefault="0036366A">
      <w:r>
        <w:separator/>
      </w:r>
    </w:p>
  </w:endnote>
  <w:endnote w:type="continuationSeparator" w:id="0">
    <w:p w:rsidR="0036366A" w:rsidRDefault="0036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6A" w:rsidRDefault="0036366A">
      <w:r>
        <w:separator/>
      </w:r>
    </w:p>
  </w:footnote>
  <w:footnote w:type="continuationSeparator" w:id="0">
    <w:p w:rsidR="0036366A" w:rsidRDefault="0036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F93C0E" w:rsidRDefault="00F93C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DD5">
          <w:rPr>
            <w:noProof/>
          </w:rPr>
          <w:t>1</w:t>
        </w:r>
        <w:r>
          <w:fldChar w:fldCharType="end"/>
        </w:r>
      </w:p>
    </w:sdtContent>
  </w:sdt>
  <w:p w:rsidR="00F93C0E" w:rsidRDefault="00F93C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7E8D"/>
    <w:rsid w:val="00227FB6"/>
    <w:rsid w:val="00232703"/>
    <w:rsid w:val="00236A12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11E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6366A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40CF"/>
    <w:rsid w:val="004150ED"/>
    <w:rsid w:val="00421494"/>
    <w:rsid w:val="00423407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65B60"/>
    <w:rsid w:val="004801C6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E77B8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3501C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2C04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B43A7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51E95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B26D8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3C0E"/>
    <w:rsid w:val="00F94138"/>
    <w:rsid w:val="00F94D45"/>
    <w:rsid w:val="00F97DD5"/>
    <w:rsid w:val="00FA10A0"/>
    <w:rsid w:val="00FA2242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77029E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3D95-F8C0-49D6-8BD7-9AC8743D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2138</Words>
  <Characters>14899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2025-12-19T13:16:00Z</cp:lastPrinted>
  <dcterms:created xsi:type="dcterms:W3CDTF">2025-12-19T13:19:00Z</dcterms:created>
  <dcterms:modified xsi:type="dcterms:W3CDTF">2025-12-19T13:19:00Z</dcterms:modified>
</cp:coreProperties>
</file>