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834" w:rsidRPr="00906BA2" w:rsidRDefault="00292834" w:rsidP="00EE1A66">
      <w:pPr>
        <w:ind w:left="7080" w:firstLine="708"/>
        <w:jc w:val="both"/>
        <w:rPr>
          <w:rFonts w:ascii="Arial" w:hAnsi="Arial" w:cs="Arial"/>
          <w:sz w:val="26"/>
          <w:szCs w:val="26"/>
        </w:rPr>
      </w:pPr>
      <w:bookmarkStart w:id="0" w:name="_GoBack"/>
      <w:r w:rsidRPr="00906BA2">
        <w:rPr>
          <w:rFonts w:ascii="Arial" w:hAnsi="Arial" w:cs="Arial"/>
          <w:sz w:val="26"/>
          <w:szCs w:val="26"/>
        </w:rPr>
        <w:t xml:space="preserve">Додаток </w:t>
      </w:r>
    </w:p>
    <w:p w:rsidR="00292834" w:rsidRPr="00906BA2" w:rsidRDefault="00292834" w:rsidP="00EE1A66">
      <w:pPr>
        <w:ind w:left="5664" w:firstLine="708"/>
        <w:jc w:val="both"/>
        <w:rPr>
          <w:rFonts w:ascii="Arial" w:hAnsi="Arial" w:cs="Arial"/>
          <w:sz w:val="26"/>
          <w:szCs w:val="26"/>
        </w:rPr>
      </w:pPr>
      <w:r w:rsidRPr="00906BA2">
        <w:rPr>
          <w:rFonts w:ascii="Arial" w:hAnsi="Arial" w:cs="Arial"/>
          <w:sz w:val="26"/>
          <w:szCs w:val="26"/>
        </w:rPr>
        <w:t xml:space="preserve">до ухвали  міської  ради </w:t>
      </w:r>
    </w:p>
    <w:p w:rsidR="00292834" w:rsidRPr="00906BA2" w:rsidRDefault="00292834" w:rsidP="00EE1A66">
      <w:pPr>
        <w:jc w:val="both"/>
        <w:rPr>
          <w:rFonts w:ascii="Arial" w:hAnsi="Arial" w:cs="Arial"/>
          <w:sz w:val="26"/>
          <w:szCs w:val="26"/>
        </w:rPr>
      </w:pP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t>від ___________№____</w:t>
      </w:r>
    </w:p>
    <w:p w:rsidR="00075384" w:rsidRPr="00906BA2" w:rsidRDefault="00075384" w:rsidP="00EE1A66">
      <w:pPr>
        <w:jc w:val="both"/>
        <w:rPr>
          <w:rFonts w:ascii="Arial" w:eastAsia="Arial" w:hAnsi="Arial" w:cs="Arial"/>
          <w:sz w:val="26"/>
          <w:szCs w:val="26"/>
          <w:highlight w:val="white"/>
        </w:rPr>
      </w:pPr>
    </w:p>
    <w:p w:rsidR="00061715" w:rsidRPr="00906BA2" w:rsidRDefault="00061715" w:rsidP="00EE1A66">
      <w:pPr>
        <w:jc w:val="center"/>
        <w:rPr>
          <w:rFonts w:ascii="Arial" w:hAnsi="Arial" w:cs="Arial"/>
          <w:sz w:val="26"/>
          <w:szCs w:val="26"/>
        </w:rPr>
      </w:pPr>
      <w:r w:rsidRPr="00906BA2">
        <w:rPr>
          <w:rFonts w:ascii="Arial" w:hAnsi="Arial" w:cs="Arial"/>
          <w:sz w:val="26"/>
          <w:szCs w:val="26"/>
        </w:rPr>
        <w:t>ЕЛЕМЕНТИ</w:t>
      </w:r>
    </w:p>
    <w:p w:rsidR="00061715" w:rsidRPr="00906BA2" w:rsidRDefault="00061715" w:rsidP="00EE1A66">
      <w:pPr>
        <w:jc w:val="center"/>
        <w:rPr>
          <w:rFonts w:ascii="Arial" w:hAnsi="Arial" w:cs="Arial"/>
          <w:sz w:val="26"/>
          <w:szCs w:val="26"/>
        </w:rPr>
      </w:pPr>
      <w:r w:rsidRPr="00906BA2">
        <w:rPr>
          <w:rFonts w:ascii="Arial" w:hAnsi="Arial" w:cs="Arial"/>
          <w:sz w:val="26"/>
          <w:szCs w:val="26"/>
        </w:rPr>
        <w:t>встановлення туристичного збору</w:t>
      </w:r>
    </w:p>
    <w:p w:rsidR="00EE1A66" w:rsidRPr="00906BA2" w:rsidRDefault="00EE1A66" w:rsidP="00EE1A66">
      <w:pPr>
        <w:jc w:val="center"/>
        <w:rPr>
          <w:rFonts w:ascii="Arial" w:hAnsi="Arial" w:cs="Arial"/>
          <w:sz w:val="26"/>
          <w:szCs w:val="26"/>
        </w:rPr>
      </w:pPr>
    </w:p>
    <w:p w:rsidR="00061715" w:rsidRPr="00906BA2" w:rsidRDefault="00061715" w:rsidP="00EE1A66">
      <w:pPr>
        <w:jc w:val="center"/>
        <w:rPr>
          <w:rFonts w:ascii="Arial" w:hAnsi="Arial" w:cs="Arial"/>
          <w:b/>
          <w:sz w:val="26"/>
          <w:szCs w:val="26"/>
        </w:rPr>
      </w:pPr>
      <w:r w:rsidRPr="00906BA2">
        <w:rPr>
          <w:rFonts w:ascii="Arial" w:hAnsi="Arial" w:cs="Arial"/>
          <w:b/>
          <w:sz w:val="26"/>
          <w:szCs w:val="26"/>
        </w:rPr>
        <w:t>1. Платники збору</w:t>
      </w:r>
    </w:p>
    <w:p w:rsidR="00061715" w:rsidRPr="00906BA2" w:rsidRDefault="00061715" w:rsidP="00EE1A66">
      <w:pPr>
        <w:jc w:val="both"/>
        <w:rPr>
          <w:rFonts w:ascii="Arial" w:hAnsi="Arial" w:cs="Arial"/>
          <w:b/>
          <w:sz w:val="26"/>
          <w:szCs w:val="26"/>
        </w:rPr>
      </w:pP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1.1. Платниками збору є громадяни України, іноземці, а також особи без громадянства, які прибувають на територію Львівської міської територіальної громади та тимчасово розміщуються у місцях проживання (ночівлі), визначених пунктами 3.1.1, 3.1.2 та 3.1.3 цього додатку.</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1.2. Платниками збору не можуть бути:</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1.2.1. Особи, які постійно проживають на території Львівської міської територіальної громади, у тому числі на умовах договорів найму.</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1.2.2. Фізичні особи – резиденти, які прибули у відрядження або тимчасово розміщуються у місцях проживання (ночівлі), визначених пунктом 3.1.2 цього додатку, що належать фізичним особам на праві власності або на праві користування за договором найму.</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1.2.3. Особи з інвалідністю, діти з інвалідністю та особи, що супроводжують осіб з інвалідністю І-ї групи або дітей з інвалідністю (не більше одного супроводжуючого).</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1.2.4. Ветерани війни.</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1.2.5. Учасники ліквідації наслідків аварії на Чорнобильській АЕС.</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1.2.6.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1.2.7. Діти віком до 18 років.</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1.2.8. Члени сім’ї фізичної особи першого та/або другого ступеня споріднення, які тимчасово розміщуються такою фізичною особою у місцях проживання (ночівлі), визначених пунктами 3.1.2 та 3.1.3 цього додатку, які належать їй на праві власності або на праві користування за договором найму.</w:t>
      </w:r>
    </w:p>
    <w:p w:rsidR="00BC5880" w:rsidRPr="00906BA2" w:rsidRDefault="00BC5880" w:rsidP="00BC5880">
      <w:pPr>
        <w:ind w:firstLine="708"/>
        <w:jc w:val="both"/>
        <w:rPr>
          <w:rFonts w:ascii="Arial" w:hAnsi="Arial" w:cs="Arial"/>
          <w:sz w:val="26"/>
          <w:szCs w:val="26"/>
        </w:rPr>
      </w:pPr>
    </w:p>
    <w:p w:rsidR="00061715" w:rsidRPr="00906BA2" w:rsidRDefault="00061715" w:rsidP="00BC5880">
      <w:pPr>
        <w:jc w:val="center"/>
        <w:rPr>
          <w:rFonts w:ascii="Arial" w:hAnsi="Arial" w:cs="Arial"/>
          <w:b/>
          <w:sz w:val="26"/>
          <w:szCs w:val="26"/>
        </w:rPr>
      </w:pPr>
      <w:r w:rsidRPr="00906BA2">
        <w:rPr>
          <w:rFonts w:ascii="Arial" w:hAnsi="Arial" w:cs="Arial"/>
          <w:b/>
          <w:sz w:val="26"/>
          <w:szCs w:val="26"/>
        </w:rPr>
        <w:t>2. База справляння збору</w:t>
      </w:r>
    </w:p>
    <w:p w:rsidR="00BC5880" w:rsidRPr="00906BA2" w:rsidRDefault="00BC5880" w:rsidP="00BC5880">
      <w:pPr>
        <w:jc w:val="center"/>
        <w:rPr>
          <w:rFonts w:ascii="Arial" w:hAnsi="Arial" w:cs="Arial"/>
          <w:b/>
          <w:sz w:val="26"/>
          <w:szCs w:val="26"/>
        </w:rPr>
      </w:pP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2.1. Базою справляння збору є загальна кількість діб тимчасового розміщення у місцях проживання (ночівлі), визначених пунктами 3.1.1, 3.1.2 та 3.1.3 цього додатку.</w:t>
      </w:r>
    </w:p>
    <w:p w:rsidR="00BC5880" w:rsidRPr="00906BA2" w:rsidRDefault="00BC5880" w:rsidP="00BC5880">
      <w:pPr>
        <w:ind w:firstLine="708"/>
        <w:jc w:val="both"/>
        <w:rPr>
          <w:rFonts w:ascii="Arial" w:hAnsi="Arial" w:cs="Arial"/>
          <w:sz w:val="26"/>
          <w:szCs w:val="26"/>
        </w:rPr>
      </w:pPr>
    </w:p>
    <w:p w:rsidR="00061715" w:rsidRPr="00906BA2" w:rsidRDefault="00061715" w:rsidP="00BC5880">
      <w:pPr>
        <w:jc w:val="center"/>
        <w:rPr>
          <w:rFonts w:ascii="Arial" w:hAnsi="Arial" w:cs="Arial"/>
          <w:b/>
          <w:sz w:val="26"/>
          <w:szCs w:val="26"/>
        </w:rPr>
      </w:pPr>
      <w:r w:rsidRPr="00906BA2">
        <w:rPr>
          <w:rFonts w:ascii="Arial" w:hAnsi="Arial" w:cs="Arial"/>
          <w:b/>
          <w:sz w:val="26"/>
          <w:szCs w:val="26"/>
        </w:rPr>
        <w:t>3. Особливості справляння збору</w:t>
      </w:r>
    </w:p>
    <w:p w:rsidR="00BC5880" w:rsidRPr="00906BA2" w:rsidRDefault="00BC5880" w:rsidP="00BC5880">
      <w:pPr>
        <w:jc w:val="center"/>
        <w:rPr>
          <w:rFonts w:ascii="Arial" w:hAnsi="Arial" w:cs="Arial"/>
          <w:b/>
          <w:sz w:val="26"/>
          <w:szCs w:val="26"/>
        </w:rPr>
      </w:pP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3.1. Справляння збору здійснюється з тимчасового розміщення у таких місцях проживання (ночівлі):</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 xml:space="preserve">3.1.1. Готелі. </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lastRenderedPageBreak/>
        <w:t>3.1.2. Кемпінги, мотелі, гуртожитки для приїжджих, хостели, будинки відпочинку, туристичні бази, табори для відпочинку, пансіонати та інші заклади готельного типу, санаторно-курортні заклади.</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3.1.3. Житлові будинки, прибудови до житлових будинків, квартири, котеджі, кімнати, садові будинки, дачні будинки, будь-які інші об’єкти, які використовуються для тимчасового проживання (ночівлі).</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3.2. Справляння збору здійснюється такими податковими агентами:</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3.2.1. Юридичними особами, філіями, відділеннями, іншими відокремленими підрозділами юридичних осіб згідно з пунктом 4.3 цього додатку, фізичними особами – підприємцями, які надають послуги з тимчасового розміщення осіб у місцях проживання (ночівлі), визначених пунктами 3.1.1, 3.1.2 та 3.1.3 цього додатку.</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3.2.2.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пунктом 3.1.3 цього додатку, які належать фізичним особам на праві власності або на праві користування за договором найму.</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3.2.3. Юридичними особами, які уповноважуються міською радою справляти збір на умовах договору, укладеного з міською радою.</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3.3.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діючими у Львівській міській територіальній громаді ставками, у місцях справляння збору та з дотриманням інших вимог, визначених ухвалою про встановлення ставок туристичного збору.</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3.4. За один і той самий період перебування платника збору на території Львівської міської територіальної громади повторне справляння збору, вже сплаченого таким платником збору, не допускається.</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3.5.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ухвали про встановлення ставок туристичного збору.</w:t>
      </w:r>
    </w:p>
    <w:p w:rsidR="00061715" w:rsidRPr="00906BA2" w:rsidRDefault="00061715" w:rsidP="00EE1A66">
      <w:pPr>
        <w:jc w:val="both"/>
        <w:rPr>
          <w:rFonts w:ascii="Arial" w:hAnsi="Arial" w:cs="Arial"/>
          <w:sz w:val="26"/>
          <w:szCs w:val="26"/>
        </w:rPr>
      </w:pPr>
    </w:p>
    <w:p w:rsidR="00061715" w:rsidRPr="00906BA2" w:rsidRDefault="00061715" w:rsidP="00BC5880">
      <w:pPr>
        <w:jc w:val="center"/>
        <w:rPr>
          <w:rFonts w:ascii="Arial" w:hAnsi="Arial" w:cs="Arial"/>
          <w:b/>
          <w:sz w:val="26"/>
          <w:szCs w:val="26"/>
        </w:rPr>
      </w:pPr>
      <w:r w:rsidRPr="00906BA2">
        <w:rPr>
          <w:rFonts w:ascii="Arial" w:hAnsi="Arial" w:cs="Arial"/>
          <w:b/>
          <w:sz w:val="26"/>
          <w:szCs w:val="26"/>
        </w:rPr>
        <w:t>4. Порядок сплати збору</w:t>
      </w:r>
    </w:p>
    <w:p w:rsidR="00061715" w:rsidRPr="00906BA2" w:rsidRDefault="00061715" w:rsidP="00EE1A66">
      <w:pPr>
        <w:jc w:val="both"/>
        <w:rPr>
          <w:rFonts w:ascii="Arial" w:hAnsi="Arial" w:cs="Arial"/>
          <w:sz w:val="26"/>
          <w:szCs w:val="26"/>
        </w:rPr>
      </w:pP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4.1.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числа включно).</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4.2. 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врахуванням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 xml:space="preserve">4.3. Податковий агент, який має підрозділ без статусу юридичної особи, який надає послуги з тимчасового розміщення у місцях проживання </w:t>
      </w:r>
      <w:r w:rsidRPr="00906BA2">
        <w:rPr>
          <w:rFonts w:ascii="Arial" w:hAnsi="Arial" w:cs="Arial"/>
          <w:sz w:val="26"/>
          <w:szCs w:val="26"/>
        </w:rPr>
        <w:lastRenderedPageBreak/>
        <w:t>(ночівлі)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rsidR="00061715" w:rsidRPr="00906BA2" w:rsidRDefault="00061715" w:rsidP="00BC5880">
      <w:pPr>
        <w:ind w:firstLine="708"/>
        <w:jc w:val="both"/>
        <w:rPr>
          <w:rFonts w:ascii="Arial" w:hAnsi="Arial" w:cs="Arial"/>
          <w:sz w:val="26"/>
          <w:szCs w:val="26"/>
        </w:rPr>
      </w:pPr>
      <w:r w:rsidRPr="00906BA2">
        <w:rPr>
          <w:rFonts w:ascii="Arial" w:hAnsi="Arial" w:cs="Arial"/>
          <w:sz w:val="26"/>
          <w:szCs w:val="26"/>
        </w:rPr>
        <w:t>4.4. Базовий податковий (звітний) період дорівнює календарному кварталу.</w:t>
      </w:r>
    </w:p>
    <w:p w:rsidR="00292834" w:rsidRPr="00906BA2" w:rsidRDefault="00292834" w:rsidP="00EE1A66">
      <w:pPr>
        <w:jc w:val="both"/>
        <w:rPr>
          <w:rFonts w:ascii="Arial" w:eastAsia="Arial" w:hAnsi="Arial" w:cs="Arial"/>
          <w:sz w:val="26"/>
          <w:szCs w:val="26"/>
          <w:highlight w:val="white"/>
        </w:rPr>
      </w:pPr>
    </w:p>
    <w:p w:rsidR="00292834" w:rsidRPr="00906BA2" w:rsidRDefault="00292834" w:rsidP="00EE1A66">
      <w:pPr>
        <w:jc w:val="both"/>
        <w:rPr>
          <w:rFonts w:ascii="Arial" w:eastAsia="Arial" w:hAnsi="Arial" w:cs="Arial"/>
          <w:sz w:val="26"/>
          <w:szCs w:val="26"/>
          <w:highlight w:val="white"/>
        </w:rPr>
      </w:pPr>
    </w:p>
    <w:p w:rsidR="00BC5880" w:rsidRPr="00906BA2" w:rsidRDefault="00BC5880" w:rsidP="00EE1A66">
      <w:pPr>
        <w:jc w:val="both"/>
        <w:rPr>
          <w:rFonts w:ascii="Arial" w:eastAsia="Arial" w:hAnsi="Arial" w:cs="Arial"/>
          <w:sz w:val="26"/>
          <w:szCs w:val="26"/>
          <w:highlight w:val="white"/>
        </w:rPr>
      </w:pPr>
    </w:p>
    <w:p w:rsidR="00075384" w:rsidRPr="00906BA2" w:rsidRDefault="00075384" w:rsidP="00EE1A66">
      <w:pPr>
        <w:jc w:val="both"/>
        <w:rPr>
          <w:rFonts w:ascii="Arial" w:hAnsi="Arial" w:cs="Arial"/>
          <w:sz w:val="26"/>
          <w:szCs w:val="26"/>
        </w:rPr>
      </w:pPr>
      <w:r w:rsidRPr="00906BA2">
        <w:rPr>
          <w:rFonts w:ascii="Arial" w:hAnsi="Arial" w:cs="Arial"/>
          <w:sz w:val="26"/>
          <w:szCs w:val="26"/>
        </w:rPr>
        <w:t>Секретар ради</w:t>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t>М</w:t>
      </w:r>
      <w:r w:rsidR="00223033" w:rsidRPr="00906BA2">
        <w:rPr>
          <w:rFonts w:ascii="Arial" w:hAnsi="Arial" w:cs="Arial"/>
          <w:sz w:val="26"/>
          <w:szCs w:val="26"/>
        </w:rPr>
        <w:t>аркіян</w:t>
      </w:r>
      <w:r w:rsidRPr="00906BA2">
        <w:rPr>
          <w:rFonts w:ascii="Arial" w:hAnsi="Arial" w:cs="Arial"/>
          <w:sz w:val="26"/>
          <w:szCs w:val="26"/>
        </w:rPr>
        <w:t xml:space="preserve"> Л</w:t>
      </w:r>
      <w:r w:rsidR="00223033" w:rsidRPr="00906BA2">
        <w:rPr>
          <w:rFonts w:ascii="Arial" w:hAnsi="Arial" w:cs="Arial"/>
          <w:sz w:val="26"/>
          <w:szCs w:val="26"/>
        </w:rPr>
        <w:t>ОПАЧАК</w:t>
      </w:r>
    </w:p>
    <w:p w:rsidR="00075384" w:rsidRPr="00906BA2" w:rsidRDefault="00075384" w:rsidP="00EE1A66">
      <w:pPr>
        <w:jc w:val="both"/>
        <w:rPr>
          <w:rFonts w:ascii="Arial" w:hAnsi="Arial" w:cs="Arial"/>
          <w:sz w:val="26"/>
          <w:szCs w:val="26"/>
        </w:rPr>
      </w:pPr>
    </w:p>
    <w:p w:rsidR="00075384" w:rsidRPr="00906BA2" w:rsidRDefault="00075384" w:rsidP="00EE1A66">
      <w:pPr>
        <w:jc w:val="both"/>
        <w:rPr>
          <w:rFonts w:ascii="Arial" w:hAnsi="Arial" w:cs="Arial"/>
          <w:sz w:val="26"/>
          <w:szCs w:val="26"/>
        </w:rPr>
      </w:pPr>
    </w:p>
    <w:p w:rsidR="00075384" w:rsidRPr="00906BA2" w:rsidRDefault="00075384" w:rsidP="00EE1A66">
      <w:pPr>
        <w:jc w:val="both"/>
        <w:rPr>
          <w:rFonts w:ascii="Arial" w:hAnsi="Arial" w:cs="Arial"/>
          <w:sz w:val="26"/>
          <w:szCs w:val="26"/>
        </w:rPr>
      </w:pPr>
      <w:r w:rsidRPr="00906BA2">
        <w:rPr>
          <w:rFonts w:ascii="Arial" w:hAnsi="Arial" w:cs="Arial"/>
          <w:sz w:val="26"/>
          <w:szCs w:val="26"/>
        </w:rPr>
        <w:t>Віза:</w:t>
      </w:r>
    </w:p>
    <w:p w:rsidR="00075384" w:rsidRPr="00906BA2" w:rsidRDefault="00075384" w:rsidP="00EE1A66">
      <w:pPr>
        <w:jc w:val="both"/>
        <w:rPr>
          <w:rFonts w:ascii="Arial" w:hAnsi="Arial" w:cs="Arial"/>
          <w:sz w:val="26"/>
          <w:szCs w:val="26"/>
        </w:rPr>
      </w:pPr>
    </w:p>
    <w:p w:rsidR="00075384" w:rsidRPr="00906BA2" w:rsidRDefault="00BC5880" w:rsidP="00EE1A66">
      <w:pPr>
        <w:jc w:val="both"/>
        <w:rPr>
          <w:rFonts w:ascii="Arial" w:hAnsi="Arial" w:cs="Arial"/>
          <w:sz w:val="26"/>
          <w:szCs w:val="26"/>
        </w:rPr>
      </w:pPr>
      <w:r w:rsidRPr="00906BA2">
        <w:rPr>
          <w:rFonts w:ascii="Arial" w:hAnsi="Arial" w:cs="Arial"/>
          <w:sz w:val="26"/>
          <w:szCs w:val="26"/>
        </w:rPr>
        <w:t>Директор департаменту</w:t>
      </w:r>
      <w:r w:rsidR="00075384" w:rsidRPr="00906BA2">
        <w:rPr>
          <w:rFonts w:ascii="Arial" w:hAnsi="Arial" w:cs="Arial"/>
          <w:sz w:val="26"/>
          <w:szCs w:val="26"/>
        </w:rPr>
        <w:t xml:space="preserve"> </w:t>
      </w:r>
    </w:p>
    <w:p w:rsidR="00BC5880" w:rsidRPr="00906BA2" w:rsidRDefault="00BC5880" w:rsidP="00EE1A66">
      <w:pPr>
        <w:jc w:val="both"/>
        <w:rPr>
          <w:rFonts w:ascii="Arial" w:hAnsi="Arial" w:cs="Arial"/>
          <w:sz w:val="26"/>
          <w:szCs w:val="26"/>
        </w:rPr>
      </w:pPr>
      <w:r w:rsidRPr="00906BA2">
        <w:rPr>
          <w:rFonts w:ascii="Arial" w:hAnsi="Arial" w:cs="Arial"/>
          <w:sz w:val="26"/>
          <w:szCs w:val="26"/>
        </w:rPr>
        <w:t>економічного розвитку</w:t>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t>Ірина КУЛИНИЧ</w:t>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r w:rsidRPr="00906BA2">
        <w:rPr>
          <w:rFonts w:ascii="Arial" w:hAnsi="Arial" w:cs="Arial"/>
          <w:sz w:val="26"/>
          <w:szCs w:val="26"/>
        </w:rPr>
        <w:tab/>
      </w: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4C0D0B" w:rsidRPr="00906BA2" w:rsidRDefault="004C0D0B" w:rsidP="00EE1A66">
      <w:pPr>
        <w:jc w:val="both"/>
        <w:rPr>
          <w:rFonts w:ascii="Arial" w:hAnsi="Arial" w:cs="Arial"/>
          <w:sz w:val="26"/>
          <w:szCs w:val="26"/>
        </w:rPr>
      </w:pPr>
    </w:p>
    <w:p w:rsidR="00075384" w:rsidRPr="00906BA2" w:rsidRDefault="00075384" w:rsidP="00EE1A66">
      <w:pPr>
        <w:jc w:val="both"/>
        <w:rPr>
          <w:rFonts w:ascii="Arial" w:hAnsi="Arial" w:cs="Arial"/>
          <w:sz w:val="26"/>
          <w:szCs w:val="26"/>
        </w:rPr>
      </w:pPr>
    </w:p>
    <w:p w:rsidR="00075384" w:rsidRPr="00906BA2" w:rsidRDefault="00075384" w:rsidP="00EE1A66">
      <w:pPr>
        <w:jc w:val="both"/>
        <w:rPr>
          <w:rFonts w:ascii="Arial" w:eastAsia="Arial" w:hAnsi="Arial" w:cs="Arial"/>
          <w:sz w:val="26"/>
          <w:szCs w:val="26"/>
        </w:rPr>
      </w:pPr>
    </w:p>
    <w:p w:rsidR="00075384" w:rsidRPr="00906BA2" w:rsidRDefault="00075384" w:rsidP="00EE1A66">
      <w:pPr>
        <w:jc w:val="both"/>
        <w:rPr>
          <w:rFonts w:ascii="Arial" w:eastAsia="Arial" w:hAnsi="Arial" w:cs="Arial"/>
          <w:sz w:val="26"/>
          <w:szCs w:val="26"/>
        </w:rPr>
      </w:pPr>
    </w:p>
    <w:p w:rsidR="00075384" w:rsidRPr="00906BA2" w:rsidRDefault="00075384" w:rsidP="00EE1A66">
      <w:pPr>
        <w:jc w:val="both"/>
        <w:rPr>
          <w:rFonts w:ascii="Arial" w:eastAsia="Arial" w:hAnsi="Arial" w:cs="Arial"/>
          <w:sz w:val="26"/>
          <w:szCs w:val="26"/>
        </w:rPr>
      </w:pPr>
    </w:p>
    <w:p w:rsidR="008B6477" w:rsidRPr="00906BA2" w:rsidRDefault="008B6477" w:rsidP="00EE1A66">
      <w:pPr>
        <w:jc w:val="both"/>
        <w:rPr>
          <w:rFonts w:ascii="Arial" w:eastAsia="Arial" w:hAnsi="Arial" w:cs="Arial"/>
          <w:sz w:val="26"/>
          <w:szCs w:val="26"/>
        </w:rPr>
      </w:pPr>
    </w:p>
    <w:p w:rsidR="008B6477" w:rsidRPr="00906BA2" w:rsidRDefault="008B6477" w:rsidP="00EE1A66">
      <w:pPr>
        <w:jc w:val="both"/>
        <w:rPr>
          <w:rFonts w:ascii="Arial" w:eastAsia="Arial" w:hAnsi="Arial" w:cs="Arial"/>
          <w:sz w:val="26"/>
          <w:szCs w:val="26"/>
        </w:rPr>
      </w:pPr>
    </w:p>
    <w:bookmarkEnd w:id="0"/>
    <w:p w:rsidR="008B6477" w:rsidRPr="00906BA2" w:rsidRDefault="008B6477" w:rsidP="00EE1A66">
      <w:pPr>
        <w:jc w:val="both"/>
        <w:rPr>
          <w:rFonts w:ascii="Arial" w:eastAsia="Arial" w:hAnsi="Arial" w:cs="Arial"/>
          <w:sz w:val="26"/>
          <w:szCs w:val="26"/>
        </w:rPr>
      </w:pPr>
    </w:p>
    <w:sectPr w:rsidR="008B6477" w:rsidRPr="00906BA2" w:rsidSect="00323C89">
      <w:headerReference w:type="default" r:id="rId8"/>
      <w:pgSz w:w="11906" w:h="16838"/>
      <w:pgMar w:top="567" w:right="567" w:bottom="567"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4D1" w:rsidRDefault="00FC24D1" w:rsidP="00130E8F">
      <w:r>
        <w:separator/>
      </w:r>
    </w:p>
  </w:endnote>
  <w:endnote w:type="continuationSeparator" w:id="0">
    <w:p w:rsidR="00FC24D1" w:rsidRDefault="00FC24D1"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4D1" w:rsidRDefault="00FC24D1" w:rsidP="00130E8F">
      <w:r>
        <w:separator/>
      </w:r>
    </w:p>
  </w:footnote>
  <w:footnote w:type="continuationSeparator" w:id="0">
    <w:p w:rsidR="00FC24D1" w:rsidRDefault="00FC24D1" w:rsidP="00130E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32545"/>
      <w:docPartObj>
        <w:docPartGallery w:val="Page Numbers (Top of Page)"/>
        <w:docPartUnique/>
      </w:docPartObj>
    </w:sdtPr>
    <w:sdtEndPr/>
    <w:sdtContent>
      <w:p w:rsidR="00430737" w:rsidRDefault="00430737">
        <w:pPr>
          <w:pStyle w:val="a3"/>
          <w:jc w:val="center"/>
        </w:pPr>
        <w:r>
          <w:fldChar w:fldCharType="begin"/>
        </w:r>
        <w:r>
          <w:instrText>PAGE   \* MERGEFORMAT</w:instrText>
        </w:r>
        <w:r>
          <w:fldChar w:fldCharType="separate"/>
        </w:r>
        <w:r w:rsidR="00906BA2">
          <w:rPr>
            <w:noProof/>
          </w:rPr>
          <w:t>1</w:t>
        </w:r>
        <w:r>
          <w:fldChar w:fldCharType="end"/>
        </w:r>
      </w:p>
    </w:sdtContent>
  </w:sdt>
  <w:p w:rsidR="00130E8F" w:rsidRDefault="00130E8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B7F3D"/>
    <w:multiLevelType w:val="hybridMultilevel"/>
    <w:tmpl w:val="2AAAFF7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4AA851B2"/>
    <w:multiLevelType w:val="hybridMultilevel"/>
    <w:tmpl w:val="578CF728"/>
    <w:lvl w:ilvl="0" w:tplc="0A666F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0E8F"/>
    <w:rsid w:val="000301EA"/>
    <w:rsid w:val="00061715"/>
    <w:rsid w:val="00075384"/>
    <w:rsid w:val="000B387F"/>
    <w:rsid w:val="00117C1B"/>
    <w:rsid w:val="00130E8F"/>
    <w:rsid w:val="001C7FC4"/>
    <w:rsid w:val="001D148F"/>
    <w:rsid w:val="00223033"/>
    <w:rsid w:val="00292834"/>
    <w:rsid w:val="002B78F0"/>
    <w:rsid w:val="002D2A53"/>
    <w:rsid w:val="003002D0"/>
    <w:rsid w:val="00323C89"/>
    <w:rsid w:val="00341A66"/>
    <w:rsid w:val="00364B35"/>
    <w:rsid w:val="00383649"/>
    <w:rsid w:val="003D4B55"/>
    <w:rsid w:val="00430737"/>
    <w:rsid w:val="0044752C"/>
    <w:rsid w:val="00496497"/>
    <w:rsid w:val="004A7D8D"/>
    <w:rsid w:val="004B4945"/>
    <w:rsid w:val="004C0D0B"/>
    <w:rsid w:val="00596B9F"/>
    <w:rsid w:val="00622B71"/>
    <w:rsid w:val="006345E7"/>
    <w:rsid w:val="007E7A71"/>
    <w:rsid w:val="008B6477"/>
    <w:rsid w:val="008D563F"/>
    <w:rsid w:val="00906BA2"/>
    <w:rsid w:val="009661FC"/>
    <w:rsid w:val="009D43A8"/>
    <w:rsid w:val="00A77F69"/>
    <w:rsid w:val="00B05530"/>
    <w:rsid w:val="00B32F78"/>
    <w:rsid w:val="00B52835"/>
    <w:rsid w:val="00B54A75"/>
    <w:rsid w:val="00BB447E"/>
    <w:rsid w:val="00BC5880"/>
    <w:rsid w:val="00CF5704"/>
    <w:rsid w:val="00D32966"/>
    <w:rsid w:val="00D75F75"/>
    <w:rsid w:val="00E1735D"/>
    <w:rsid w:val="00E403C6"/>
    <w:rsid w:val="00E922D6"/>
    <w:rsid w:val="00EC3391"/>
    <w:rsid w:val="00EE1A66"/>
    <w:rsid w:val="00F8492B"/>
    <w:rsid w:val="00F86E52"/>
    <w:rsid w:val="00FC24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D14CF-46A2-4D4C-B800-D4BD591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E8F"/>
    <w:pPr>
      <w:tabs>
        <w:tab w:val="center" w:pos="4819"/>
        <w:tab w:val="right" w:pos="9639"/>
      </w:tabs>
    </w:pPr>
  </w:style>
  <w:style w:type="character" w:customStyle="1" w:styleId="a4">
    <w:name w:val="Верхній колонтитул Знак"/>
    <w:basedOn w:val="a0"/>
    <w:link w:val="a3"/>
    <w:uiPriority w:val="99"/>
    <w:rsid w:val="00130E8F"/>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130E8F"/>
    <w:pPr>
      <w:tabs>
        <w:tab w:val="center" w:pos="4819"/>
        <w:tab w:val="right" w:pos="9639"/>
      </w:tabs>
    </w:pPr>
  </w:style>
  <w:style w:type="character" w:customStyle="1" w:styleId="a6">
    <w:name w:val="Нижній колонтитул Знак"/>
    <w:basedOn w:val="a0"/>
    <w:link w:val="a5"/>
    <w:uiPriority w:val="99"/>
    <w:rsid w:val="00130E8F"/>
    <w:rPr>
      <w:rFonts w:ascii="Times New Roman" w:eastAsia="Times New Roman" w:hAnsi="Times New Roman" w:cs="Times New Roman"/>
      <w:sz w:val="24"/>
      <w:szCs w:val="24"/>
      <w:lang w:eastAsia="ar-SA"/>
    </w:rPr>
  </w:style>
  <w:style w:type="paragraph" w:styleId="a7">
    <w:name w:val="List Paragraph"/>
    <w:basedOn w:val="a"/>
    <w:uiPriority w:val="34"/>
    <w:qFormat/>
    <w:rsid w:val="00075384"/>
    <w:pPr>
      <w:suppressAutoHyphens w:val="0"/>
      <w:spacing w:after="160" w:line="259" w:lineRule="auto"/>
      <w:ind w:left="720"/>
      <w:contextualSpacing/>
    </w:pPr>
    <w:rPr>
      <w:rFonts w:ascii="Calibri" w:eastAsia="Calibri" w:hAnsi="Calibri" w:cs="Calibri"/>
      <w:sz w:val="22"/>
      <w:szCs w:val="22"/>
      <w:lang w:eastAsia="uk-UA"/>
    </w:rPr>
  </w:style>
  <w:style w:type="paragraph" w:styleId="a8">
    <w:name w:val="Balloon Text"/>
    <w:basedOn w:val="a"/>
    <w:link w:val="a9"/>
    <w:uiPriority w:val="99"/>
    <w:semiHidden/>
    <w:unhideWhenUsed/>
    <w:rsid w:val="00F86E52"/>
    <w:rPr>
      <w:rFonts w:ascii="Segoe UI" w:hAnsi="Segoe UI" w:cs="Segoe UI"/>
      <w:sz w:val="18"/>
      <w:szCs w:val="18"/>
    </w:rPr>
  </w:style>
  <w:style w:type="character" w:customStyle="1" w:styleId="a9">
    <w:name w:val="Текст у виносці Знак"/>
    <w:basedOn w:val="a0"/>
    <w:link w:val="a8"/>
    <w:uiPriority w:val="99"/>
    <w:semiHidden/>
    <w:rsid w:val="00F86E5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46764">
      <w:bodyDiv w:val="1"/>
      <w:marLeft w:val="0"/>
      <w:marRight w:val="0"/>
      <w:marTop w:val="0"/>
      <w:marBottom w:val="0"/>
      <w:divBdr>
        <w:top w:val="none" w:sz="0" w:space="0" w:color="auto"/>
        <w:left w:val="none" w:sz="0" w:space="0" w:color="auto"/>
        <w:bottom w:val="none" w:sz="0" w:space="0" w:color="auto"/>
        <w:right w:val="none" w:sz="0" w:space="0" w:color="auto"/>
      </w:divBdr>
    </w:div>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3CE0-A808-4C17-8BDD-2953E1EB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3479</Words>
  <Characters>1984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35</cp:revision>
  <cp:lastPrinted>2021-03-11T13:16:00Z</cp:lastPrinted>
  <dcterms:created xsi:type="dcterms:W3CDTF">2017-12-12T13:23:00Z</dcterms:created>
  <dcterms:modified xsi:type="dcterms:W3CDTF">2022-07-06T12:24:00Z</dcterms:modified>
</cp:coreProperties>
</file>