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305907" w:rsidRDefault="00DC584A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      </w:t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305907" w:rsidRDefault="00DC584A" w:rsidP="00F55B67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Затверджено</w:t>
      </w:r>
    </w:p>
    <w:p w:rsidR="00DC584A" w:rsidRPr="00305907" w:rsidRDefault="00DC584A" w:rsidP="00F55B6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305907" w:rsidRDefault="00DC584A" w:rsidP="00F55B6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від _________ № _____</w:t>
      </w:r>
    </w:p>
    <w:p w:rsidR="00F1066F" w:rsidRPr="00305907" w:rsidRDefault="00F1066F" w:rsidP="00305907">
      <w:pPr>
        <w:jc w:val="both"/>
        <w:rPr>
          <w:rFonts w:ascii="Arial" w:hAnsi="Arial" w:cs="Arial"/>
          <w:sz w:val="26"/>
          <w:szCs w:val="26"/>
        </w:rPr>
      </w:pPr>
    </w:p>
    <w:p w:rsidR="00DC584A" w:rsidRPr="00305907" w:rsidRDefault="00DC584A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jc w:val="center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МІСЬКА ПРОГРАМА</w:t>
      </w:r>
    </w:p>
    <w:p w:rsidR="00563A49" w:rsidRPr="00305907" w:rsidRDefault="00104B09" w:rsidP="00F55B67">
      <w:pPr>
        <w:jc w:val="center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>зубопротезування та лікувально-хірургічної підготовки до нього пільгових категорій жителів Львівської міської територіальної громади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1. Загальна частина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104B0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>Міська програма зубопротезування та лікувально-хірургічної підготовки до нього пільгових категорій жителів Львівської міської територіальної громади</w:t>
      </w:r>
      <w:r w:rsidRPr="00305907">
        <w:rPr>
          <w:rFonts w:ascii="Arial" w:hAnsi="Arial" w:cs="Arial"/>
          <w:sz w:val="26"/>
          <w:szCs w:val="26"/>
        </w:rPr>
        <w:t xml:space="preserve"> </w:t>
      </w:r>
      <w:r w:rsidR="00563A49" w:rsidRPr="00305907">
        <w:rPr>
          <w:rFonts w:ascii="Arial" w:hAnsi="Arial" w:cs="Arial"/>
          <w:sz w:val="26"/>
          <w:szCs w:val="26"/>
        </w:rPr>
        <w:t>(</w:t>
      </w:r>
      <w:r w:rsidR="00F55B67">
        <w:rPr>
          <w:rFonts w:ascii="Arial" w:hAnsi="Arial" w:cs="Arial"/>
          <w:sz w:val="26"/>
          <w:szCs w:val="26"/>
        </w:rPr>
        <w:t>на</w:t>
      </w:r>
      <w:r w:rsidR="00563A49" w:rsidRPr="00305907">
        <w:rPr>
          <w:rFonts w:ascii="Arial" w:hAnsi="Arial" w:cs="Arial"/>
          <w:sz w:val="26"/>
          <w:szCs w:val="26"/>
        </w:rPr>
        <w:t xml:space="preserve">далі – Програма) розроблена на основі Конституції України, Законів України 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>Основи законодавства України про охорону здоров’я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>Про статус ветеранів війни, гарантії їх соціального захисту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>Про основні засади соціального захисту ветеранів праці та інших громадян похилого віку в Україні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 xml:space="preserve">Про основи соціальної захищеності </w:t>
      </w:r>
      <w:r w:rsidR="00F55B67">
        <w:rPr>
          <w:rFonts w:ascii="Arial" w:hAnsi="Arial" w:cs="Arial"/>
          <w:sz w:val="26"/>
          <w:szCs w:val="26"/>
        </w:rPr>
        <w:t xml:space="preserve">осіб з </w:t>
      </w:r>
      <w:r w:rsidR="00563A49" w:rsidRPr="00305907">
        <w:rPr>
          <w:rFonts w:ascii="Arial" w:hAnsi="Arial" w:cs="Arial"/>
          <w:sz w:val="26"/>
          <w:szCs w:val="26"/>
        </w:rPr>
        <w:t>інвалід</w:t>
      </w:r>
      <w:r w:rsidR="00F55B67">
        <w:rPr>
          <w:rFonts w:ascii="Arial" w:hAnsi="Arial" w:cs="Arial"/>
          <w:sz w:val="26"/>
          <w:szCs w:val="26"/>
        </w:rPr>
        <w:t>ністю</w:t>
      </w:r>
      <w:r w:rsidR="00563A49" w:rsidRPr="00305907">
        <w:rPr>
          <w:rFonts w:ascii="Arial" w:hAnsi="Arial" w:cs="Arial"/>
          <w:sz w:val="26"/>
          <w:szCs w:val="26"/>
        </w:rPr>
        <w:t xml:space="preserve"> в Україні</w:t>
      </w:r>
      <w:r w:rsidR="0007504B">
        <w:rPr>
          <w:rFonts w:ascii="Arial" w:hAnsi="Arial" w:cs="Arial"/>
          <w:sz w:val="26"/>
          <w:szCs w:val="26"/>
        </w:rPr>
        <w:t>"</w:t>
      </w:r>
      <w:r w:rsidR="00563A49"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2. Мета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2.1. Метою Програми є забезпечення пільгових категорій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міської територіальної громади (</w:t>
      </w:r>
      <w:r w:rsidR="00F55B67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– Львівської МТГ) зубним протезуванням для покращення жувальної і </w:t>
      </w:r>
      <w:proofErr w:type="spellStart"/>
      <w:r w:rsidRPr="00305907">
        <w:rPr>
          <w:rFonts w:ascii="Arial" w:hAnsi="Arial" w:cs="Arial"/>
          <w:sz w:val="26"/>
          <w:szCs w:val="26"/>
        </w:rPr>
        <w:t>мовної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функції щелепної системи, покращення загального стану здоров’я і життя. 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3. За</w:t>
      </w:r>
      <w:r w:rsidR="00F55B67">
        <w:rPr>
          <w:rFonts w:ascii="Arial" w:hAnsi="Arial" w:cs="Arial"/>
          <w:b/>
          <w:sz w:val="26"/>
          <w:szCs w:val="26"/>
        </w:rPr>
        <w:t>в</w:t>
      </w:r>
      <w:r w:rsidRPr="00F55B67">
        <w:rPr>
          <w:rFonts w:ascii="Arial" w:hAnsi="Arial" w:cs="Arial"/>
          <w:b/>
          <w:sz w:val="26"/>
          <w:szCs w:val="26"/>
        </w:rPr>
        <w:t>дання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3.1. Надання ортопедичної стоматологічної допомоги з поновленням жувальної спроможності із застосуванням зубних протезів та лікувально-хірургічної підготовки до неї пільговим категоріям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3.2. Створення та адміністрування платформи (порталу) обліку пільгових категорій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 для забезпечення їх зубним протезуванням за допомогою інструменту електронної черги.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eastAsiaTheme="minorHAnsi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4. Порядок надання ортопедичної стоматологічної допомоги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4.1. Право на зубопротезування та лікувально-хірургічн</w:t>
      </w:r>
      <w:r w:rsidR="00F55B67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F55B67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відповідно до цієї Програми мають особи, місце проживання яких зареєстроване на території Львівської МТГ.</w:t>
      </w: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4.2. Облік пільгових категорій громадян Львівської МТГ здійснюється відповідно до Положення про порядок створення та функціонування загальної міської електронної реєстрації на зубопротезування та лікувально-хірургічн</w:t>
      </w:r>
      <w:r w:rsidR="0007504B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07504B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пільгових категорій </w:t>
      </w:r>
      <w:r w:rsidR="0007504B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 (електронної черги), як</w:t>
      </w:r>
      <w:r w:rsidR="00A62289">
        <w:rPr>
          <w:rFonts w:ascii="Arial" w:hAnsi="Arial" w:cs="Arial"/>
          <w:sz w:val="26"/>
          <w:szCs w:val="26"/>
        </w:rPr>
        <w:t>е</w:t>
      </w:r>
      <w:r w:rsidRPr="00305907">
        <w:rPr>
          <w:rFonts w:ascii="Arial" w:hAnsi="Arial" w:cs="Arial"/>
          <w:sz w:val="26"/>
          <w:szCs w:val="26"/>
        </w:rPr>
        <w:t xml:space="preserve"> затверджується рішенням виконавчого комітету.</w:t>
      </w:r>
    </w:p>
    <w:p w:rsidR="00563A49" w:rsidRPr="00305907" w:rsidRDefault="00563A49" w:rsidP="000750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4.3. Послуги з пільгового зубопротезування та лікувально-хірургічної підготовки до нього надаються згідно з черговістю.</w:t>
      </w:r>
    </w:p>
    <w:p w:rsidR="00033B15" w:rsidRDefault="00033B15" w:rsidP="00033B1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511A0">
        <w:rPr>
          <w:rFonts w:ascii="Arial" w:hAnsi="Arial" w:cs="Arial"/>
          <w:sz w:val="26"/>
          <w:szCs w:val="26"/>
        </w:rPr>
        <w:lastRenderedPageBreak/>
        <w:t>4.4. Категорії пільговиків, які мають право на пільгове зубопротезування та лікувально-хірургічн</w:t>
      </w:r>
      <w:r>
        <w:rPr>
          <w:rFonts w:ascii="Arial" w:hAnsi="Arial" w:cs="Arial"/>
          <w:sz w:val="26"/>
          <w:szCs w:val="26"/>
        </w:rPr>
        <w:t>у</w:t>
      </w:r>
      <w:r w:rsidRPr="009511A0">
        <w:rPr>
          <w:rFonts w:ascii="Arial" w:hAnsi="Arial" w:cs="Arial"/>
          <w:sz w:val="26"/>
          <w:szCs w:val="26"/>
        </w:rPr>
        <w:t xml:space="preserve"> підготовк</w:t>
      </w:r>
      <w:r>
        <w:rPr>
          <w:rFonts w:ascii="Arial" w:hAnsi="Arial" w:cs="Arial"/>
          <w:sz w:val="26"/>
          <w:szCs w:val="26"/>
        </w:rPr>
        <w:t>у</w:t>
      </w:r>
      <w:r w:rsidRPr="009511A0">
        <w:rPr>
          <w:rFonts w:ascii="Arial" w:hAnsi="Arial" w:cs="Arial"/>
          <w:sz w:val="26"/>
          <w:szCs w:val="26"/>
        </w:rPr>
        <w:t xml:space="preserve"> до нього та обсяг відшкодування цих послуг за кошти бюджету Львівської МТГ:</w:t>
      </w:r>
    </w:p>
    <w:p w:rsidR="00033B15" w:rsidRPr="009511A0" w:rsidRDefault="00033B15" w:rsidP="00033B15">
      <w:pPr>
        <w:ind w:firstLine="708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9"/>
        <w:gridCol w:w="2612"/>
        <w:gridCol w:w="1953"/>
        <w:gridCol w:w="1920"/>
        <w:gridCol w:w="2340"/>
      </w:tblGrid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№</w:t>
            </w:r>
            <w:r w:rsidRPr="009511A0">
              <w:rPr>
                <w:rFonts w:ascii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Категорії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Підстава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Черговість за умови реєстрації в електронній черзі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Обсяг відшкодування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Учасники бойових дій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Закон України "Про статус ветеранів війни, гарантії їх соціального захисту" (ст. 12)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першочергово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Особи з інвалідністю внаслідок війни та прирівняні до них особи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Закон України "Про статус ветеранів війни, гарантії їх соціального захисту" (ст. 13)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позачергово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Особи з інвалідністю загального захворювання І та ІІ групи (на підставі індивідуальних програм реабілітації)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Закон України "Про основи соціальної захищеності осіб з інвалідністю в Україні"</w:t>
            </w:r>
            <w:r w:rsidRPr="009511A0">
              <w:rPr>
                <w:rFonts w:ascii="Arial" w:hAnsi="Arial" w:cs="Arial"/>
                <w:sz w:val="26"/>
                <w:szCs w:val="26"/>
              </w:rPr>
              <w:br/>
              <w:t>(ст. ст. 37, 38)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позачергово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Члени сімей загиблих (померлих) ветеранів війни, Захисників і Захисниць України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Закон України "Про статус ветеранів війни, гарантії їх соціального захисту" (ст. 15)</w:t>
            </w:r>
          </w:p>
        </w:tc>
        <w:tc>
          <w:tcPr>
            <w:tcW w:w="20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першочергово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6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 xml:space="preserve">Сім’ї осіб, яким посмертно присвоєно звання "Герой України" за громадянську мужність, патріотизм, героїчне відстоювання конституційних засад демократії, прав і свобод людини, </w:t>
            </w:r>
            <w:r w:rsidRPr="009511A0">
              <w:rPr>
                <w:rFonts w:ascii="Arial" w:hAnsi="Arial" w:cs="Arial"/>
                <w:sz w:val="26"/>
                <w:szCs w:val="26"/>
              </w:rPr>
              <w:lastRenderedPageBreak/>
              <w:t>самовіддане служіння українському народові, виявлені під час Революції Гідності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lastRenderedPageBreak/>
              <w:t>Закон України "Про статус ветеранів війни, гарантії їх соціального захисту" (ст. 15)</w:t>
            </w:r>
          </w:p>
        </w:tc>
        <w:tc>
          <w:tcPr>
            <w:tcW w:w="20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першочергово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Особи зі статусом постраждалих учасників Революції Гідності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Закон України "Про статус ветеранів війни, гарантії їх соціального захисту" (ст. 12)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порядку електронної черги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Члени сімей військовослужбовців, зниклих безвісти за особливих обставин першого ступеня споріднення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ухвал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9511A0">
              <w:rPr>
                <w:rFonts w:ascii="Arial" w:hAnsi="Arial" w:cs="Arial"/>
                <w:sz w:val="26"/>
                <w:szCs w:val="26"/>
              </w:rPr>
              <w:t xml:space="preserve"> міської ради від 14.12.2023 </w:t>
            </w:r>
          </w:p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 xml:space="preserve">№ 4093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9511A0">
              <w:rPr>
                <w:rFonts w:ascii="Arial" w:hAnsi="Arial" w:cs="Arial"/>
                <w:sz w:val="26"/>
                <w:szCs w:val="26"/>
              </w:rPr>
              <w:t>Про затвердження Комплексної програми підтримки ветеранів війни, членів сімей загиблих (померлих) Захисників і Захисниць України та деяких інших категорій осіб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9511A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порядку електронної черги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033B15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Члени сімей військовослужбовців, стосовно яких встановлено факт позбавлення особистої свободи внаслідок збройної агресії проти України першого ступеня споріднення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ухвал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9511A0">
              <w:rPr>
                <w:rFonts w:ascii="Arial" w:hAnsi="Arial" w:cs="Arial"/>
                <w:sz w:val="26"/>
                <w:szCs w:val="26"/>
              </w:rPr>
              <w:t xml:space="preserve"> міської ради від 14.12.2023 </w:t>
            </w:r>
          </w:p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 xml:space="preserve">№ 4093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9511A0">
              <w:rPr>
                <w:rFonts w:ascii="Arial" w:hAnsi="Arial" w:cs="Arial"/>
                <w:sz w:val="26"/>
                <w:szCs w:val="26"/>
              </w:rPr>
              <w:t>Про затвердження Комплексної програми підтримки ветеранів війни, членів сімей загиблих (померлих) Захисників і Захисниць України та деяких інших категорій осіб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9511A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порядку електронної черги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B15" w:rsidRPr="009511A0" w:rsidRDefault="00033B15" w:rsidP="00A93AB9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9511A0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104B09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Пенсіонери за віком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Закон України "Про основні засади соціального захисту ветеранів праці та інших громадян похилого віку в Україні"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A0AB0">
              <w:rPr>
                <w:rFonts w:ascii="Arial" w:hAnsi="Arial" w:cs="Arial"/>
                <w:sz w:val="26"/>
                <w:szCs w:val="26"/>
              </w:rPr>
              <w:t>(ст. 34)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у порядку електронної черги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50 відсотків від вартості роботи</w:t>
            </w:r>
          </w:p>
        </w:tc>
      </w:tr>
      <w:tr w:rsidR="00104B09" w:rsidRPr="009511A0" w:rsidTr="00104B09">
        <w:trPr>
          <w:jc w:val="center"/>
        </w:trPr>
        <w:tc>
          <w:tcPr>
            <w:tcW w:w="6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26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Ветерани праці</w:t>
            </w:r>
          </w:p>
        </w:tc>
        <w:tc>
          <w:tcPr>
            <w:tcW w:w="21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Закон України "Про основні засади соціального захисту ветеранів праці та інших громадян похилого віку в Україні"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A0AB0">
              <w:rPr>
                <w:rFonts w:ascii="Arial" w:hAnsi="Arial" w:cs="Arial"/>
                <w:sz w:val="26"/>
                <w:szCs w:val="26"/>
              </w:rPr>
              <w:t>(ст. 7)</w:t>
            </w:r>
          </w:p>
        </w:tc>
        <w:tc>
          <w:tcPr>
            <w:tcW w:w="20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A0AB0">
              <w:rPr>
                <w:rFonts w:ascii="Arial" w:hAnsi="Arial" w:cs="Arial"/>
                <w:sz w:val="26"/>
                <w:szCs w:val="26"/>
              </w:rPr>
              <w:t>у порядку електронної черги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B09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 повному обсязі, </w:t>
            </w:r>
          </w:p>
          <w:p w:rsidR="00104B09" w:rsidRPr="005A0AB0" w:rsidRDefault="00104B09" w:rsidP="00104B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 умови</w:t>
            </w:r>
            <w:r w:rsidRPr="005A0AB0">
              <w:rPr>
                <w:rFonts w:ascii="Arial" w:hAnsi="Arial" w:cs="Arial"/>
                <w:sz w:val="26"/>
                <w:szCs w:val="26"/>
              </w:rPr>
              <w:t xml:space="preserve"> якщо розмір середньомісячного сукупного доходу сім’ї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</w:t>
            </w:r>
          </w:p>
        </w:tc>
      </w:tr>
    </w:tbl>
    <w:p w:rsidR="00853671" w:rsidRPr="008A0C9A" w:rsidRDefault="00853671" w:rsidP="00853671">
      <w:pPr>
        <w:jc w:val="both"/>
        <w:rPr>
          <w:rFonts w:ascii="Arial" w:hAnsi="Arial" w:cs="Arial"/>
          <w:sz w:val="26"/>
          <w:szCs w:val="26"/>
        </w:rPr>
      </w:pP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>4.5. Обсяг безкоштовного зубного протезування пільговим категоріям населення включає: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>4.5.1. Виготовлення незнімних конструкцій протезів із сталі та пластмаси методом штамповки та пайки, суцільнолитих протезів з нержавіючої сталі з пластмасовим облицюванням (за винятком протезування із дорогоцінних металів, кераміки, металокераміки, металопластмаси, нітрит-титанового покриття, імплантатів).</w:t>
      </w:r>
    </w:p>
    <w:p w:rsidR="00853671" w:rsidRPr="008A0C9A" w:rsidRDefault="00104B09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 xml:space="preserve">4.5.2. Виготовлення знімних протезів із пластмаси та еластичних протезів (за винятком </w:t>
      </w:r>
      <w:proofErr w:type="spellStart"/>
      <w:r w:rsidRPr="005A0AB0">
        <w:rPr>
          <w:rFonts w:ascii="Arial" w:hAnsi="Arial" w:cs="Arial"/>
          <w:sz w:val="26"/>
          <w:szCs w:val="26"/>
        </w:rPr>
        <w:t>бюгельного</w:t>
      </w:r>
      <w:proofErr w:type="spellEnd"/>
      <w:r w:rsidRPr="005A0AB0">
        <w:rPr>
          <w:rFonts w:ascii="Arial" w:hAnsi="Arial" w:cs="Arial"/>
          <w:sz w:val="26"/>
          <w:szCs w:val="26"/>
        </w:rPr>
        <w:t xml:space="preserve"> протезування)</w:t>
      </w:r>
      <w:r w:rsidR="00853671" w:rsidRPr="008A0C9A">
        <w:rPr>
          <w:rFonts w:ascii="Arial" w:hAnsi="Arial" w:cs="Arial"/>
          <w:sz w:val="26"/>
          <w:szCs w:val="26"/>
        </w:rPr>
        <w:t xml:space="preserve">. 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>4.5.3. Суцільнолиті та пластмасові конструкції протезів (за винятком протезування із дорогоцінних металів, кераміки, металокераміки, нітри</w:t>
      </w:r>
      <w:r>
        <w:rPr>
          <w:rFonts w:ascii="Arial" w:hAnsi="Arial" w:cs="Arial"/>
          <w:sz w:val="26"/>
          <w:szCs w:val="26"/>
        </w:rPr>
        <w:t>т-титанового покриття, суцільно</w:t>
      </w:r>
      <w:r w:rsidRPr="008A0C9A">
        <w:rPr>
          <w:rFonts w:ascii="Arial" w:hAnsi="Arial" w:cs="Arial"/>
          <w:sz w:val="26"/>
          <w:szCs w:val="26"/>
        </w:rPr>
        <w:t xml:space="preserve">литого протезування, у тому числі </w:t>
      </w:r>
      <w:proofErr w:type="spellStart"/>
      <w:r w:rsidRPr="008A0C9A">
        <w:rPr>
          <w:rFonts w:ascii="Arial" w:hAnsi="Arial" w:cs="Arial"/>
          <w:sz w:val="26"/>
          <w:szCs w:val="26"/>
        </w:rPr>
        <w:t>бюгельного</w:t>
      </w:r>
      <w:proofErr w:type="spellEnd"/>
      <w:r w:rsidRPr="008A0C9A">
        <w:rPr>
          <w:rFonts w:ascii="Arial" w:hAnsi="Arial" w:cs="Arial"/>
          <w:sz w:val="26"/>
          <w:szCs w:val="26"/>
        </w:rPr>
        <w:t xml:space="preserve"> протезування, імплантатів).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 xml:space="preserve">4.6. Проведення протезування та підготовка до нього учасникам бойових дій та особам з інвалідністю внаслідок війни відповідно до пункту 11 статті 7 Закону України </w:t>
      </w:r>
      <w:r>
        <w:rPr>
          <w:rFonts w:ascii="Arial" w:hAnsi="Arial" w:cs="Arial"/>
          <w:sz w:val="26"/>
          <w:szCs w:val="26"/>
        </w:rPr>
        <w:t>"</w:t>
      </w:r>
      <w:r w:rsidRPr="008A0C9A">
        <w:rPr>
          <w:rFonts w:ascii="Arial" w:hAnsi="Arial" w:cs="Arial"/>
          <w:sz w:val="26"/>
          <w:szCs w:val="26"/>
        </w:rPr>
        <w:t>Про статус ветеранів війни, гарантії їх соціального захисту</w:t>
      </w:r>
      <w:r>
        <w:rPr>
          <w:rFonts w:ascii="Arial" w:hAnsi="Arial" w:cs="Arial"/>
          <w:sz w:val="26"/>
          <w:szCs w:val="26"/>
        </w:rPr>
        <w:t>"</w:t>
      </w:r>
      <w:r w:rsidRPr="008A0C9A">
        <w:rPr>
          <w:rFonts w:ascii="Arial" w:hAnsi="Arial" w:cs="Arial"/>
          <w:sz w:val="26"/>
          <w:szCs w:val="26"/>
        </w:rPr>
        <w:t xml:space="preserve">, які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здійснюється з використанням </w:t>
      </w:r>
      <w:proofErr w:type="spellStart"/>
      <w:r w:rsidRPr="008A0C9A">
        <w:rPr>
          <w:rFonts w:ascii="Arial" w:hAnsi="Arial" w:cs="Arial"/>
          <w:sz w:val="26"/>
          <w:szCs w:val="26"/>
        </w:rPr>
        <w:t>дороговартісних</w:t>
      </w:r>
      <w:proofErr w:type="spellEnd"/>
      <w:r w:rsidRPr="008A0C9A">
        <w:rPr>
          <w:rFonts w:ascii="Arial" w:hAnsi="Arial" w:cs="Arial"/>
          <w:sz w:val="26"/>
          <w:szCs w:val="26"/>
        </w:rPr>
        <w:t xml:space="preserve"> імпортних матеріалів для цієї категорії пільговиків. Обсяг зубопротезних робіт містить: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lastRenderedPageBreak/>
        <w:t>4.6.1.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0C9A">
        <w:rPr>
          <w:rFonts w:ascii="Arial" w:hAnsi="Arial" w:cs="Arial"/>
          <w:sz w:val="26"/>
          <w:szCs w:val="26"/>
        </w:rPr>
        <w:t>Бюгельні</w:t>
      </w:r>
      <w:proofErr w:type="spellEnd"/>
      <w:r w:rsidRPr="008A0C9A">
        <w:rPr>
          <w:rFonts w:ascii="Arial" w:hAnsi="Arial" w:cs="Arial"/>
          <w:sz w:val="26"/>
          <w:szCs w:val="26"/>
        </w:rPr>
        <w:t xml:space="preserve"> протези, знімні еластичні протези.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 xml:space="preserve">4.6.2. Металокерамічні одиночні коронки, включаючи металокерамічні коронки на </w:t>
      </w:r>
      <w:proofErr w:type="spellStart"/>
      <w:r w:rsidRPr="008A0C9A">
        <w:rPr>
          <w:rFonts w:ascii="Arial" w:hAnsi="Arial" w:cs="Arial"/>
          <w:sz w:val="26"/>
          <w:szCs w:val="26"/>
        </w:rPr>
        <w:t>куксових</w:t>
      </w:r>
      <w:proofErr w:type="spellEnd"/>
      <w:r w:rsidRPr="008A0C9A">
        <w:rPr>
          <w:rFonts w:ascii="Arial" w:hAnsi="Arial" w:cs="Arial"/>
          <w:sz w:val="26"/>
          <w:szCs w:val="26"/>
        </w:rPr>
        <w:t xml:space="preserve"> суцільнолитих вкладках.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 xml:space="preserve">4.6.3. </w:t>
      </w:r>
      <w:proofErr w:type="spellStart"/>
      <w:r w:rsidRPr="008A0C9A">
        <w:rPr>
          <w:rFonts w:ascii="Arial" w:hAnsi="Arial" w:cs="Arial"/>
          <w:sz w:val="26"/>
          <w:szCs w:val="26"/>
        </w:rPr>
        <w:t>Куксові</w:t>
      </w:r>
      <w:proofErr w:type="spellEnd"/>
      <w:r w:rsidRPr="008A0C9A">
        <w:rPr>
          <w:rFonts w:ascii="Arial" w:hAnsi="Arial" w:cs="Arial"/>
          <w:sz w:val="26"/>
          <w:szCs w:val="26"/>
        </w:rPr>
        <w:t xml:space="preserve"> суцільнолиті вкладки.</w:t>
      </w:r>
    </w:p>
    <w:p w:rsidR="00853671" w:rsidRPr="008A0C9A" w:rsidRDefault="00853671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 xml:space="preserve">4.6.4. Металокерамічні </w:t>
      </w:r>
      <w:proofErr w:type="spellStart"/>
      <w:r w:rsidRPr="008A0C9A">
        <w:rPr>
          <w:rFonts w:ascii="Arial" w:hAnsi="Arial" w:cs="Arial"/>
          <w:sz w:val="26"/>
          <w:szCs w:val="26"/>
        </w:rPr>
        <w:t>мостовидні</w:t>
      </w:r>
      <w:proofErr w:type="spellEnd"/>
      <w:r w:rsidRPr="008A0C9A">
        <w:rPr>
          <w:rFonts w:ascii="Arial" w:hAnsi="Arial" w:cs="Arial"/>
          <w:sz w:val="26"/>
          <w:szCs w:val="26"/>
        </w:rPr>
        <w:t xml:space="preserve"> протези"</w:t>
      </w:r>
      <w:r>
        <w:rPr>
          <w:rFonts w:ascii="Arial" w:hAnsi="Arial" w:cs="Arial"/>
          <w:sz w:val="26"/>
          <w:szCs w:val="26"/>
        </w:rPr>
        <w:t>.</w:t>
      </w:r>
    </w:p>
    <w:p w:rsidR="00563A49" w:rsidRPr="00305907" w:rsidRDefault="00104B09" w:rsidP="008536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 xml:space="preserve">4.7. Виготовлення зубних протезів із золота та інших дорогоцінних матеріалів, кераміки, метало-пластмасових протезів, з нітрит-титановим покриттям та імплантатів, </w:t>
      </w:r>
      <w:proofErr w:type="spellStart"/>
      <w:r w:rsidRPr="005A0AB0">
        <w:rPr>
          <w:rFonts w:ascii="Arial" w:hAnsi="Arial" w:cs="Arial"/>
          <w:sz w:val="26"/>
          <w:szCs w:val="26"/>
        </w:rPr>
        <w:t>бюгельного</w:t>
      </w:r>
      <w:proofErr w:type="spellEnd"/>
      <w:r w:rsidRPr="005A0AB0">
        <w:rPr>
          <w:rFonts w:ascii="Arial" w:hAnsi="Arial" w:cs="Arial"/>
          <w:sz w:val="26"/>
          <w:szCs w:val="26"/>
        </w:rPr>
        <w:t xml:space="preserve"> протезування може здійснюватися за бажанням пацієнта за власні кошти пільговика, про що</w:t>
      </w:r>
      <w:r>
        <w:rPr>
          <w:rFonts w:ascii="Arial" w:hAnsi="Arial" w:cs="Arial"/>
          <w:sz w:val="26"/>
          <w:szCs w:val="26"/>
        </w:rPr>
        <w:t xml:space="preserve"> зазначається у плані лікування</w:t>
      </w:r>
      <w:r w:rsidR="00563A49"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4.8. Для визначення права пільгового зубопротезування та лікувально-хірургічної підготовки до нього та для </w:t>
      </w:r>
      <w:r w:rsidR="006C5116">
        <w:rPr>
          <w:rFonts w:ascii="Arial" w:hAnsi="Arial" w:cs="Arial"/>
          <w:sz w:val="26"/>
          <w:szCs w:val="26"/>
        </w:rPr>
        <w:t>зарахування</w:t>
      </w:r>
      <w:r w:rsidRPr="00305907">
        <w:rPr>
          <w:rFonts w:ascii="Arial" w:hAnsi="Arial" w:cs="Arial"/>
          <w:sz w:val="26"/>
          <w:szCs w:val="26"/>
        </w:rPr>
        <w:t xml:space="preserve"> на облік пільгові категорії громадян подають такі документи: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4.8.1. Заява про взяття на облік на пільгове зубопротезування та лікувально-хірургічної підготовки до нього.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4.8.2. Згода на обробку персональних даних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4.8.3. Копія посвідчення пільговика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4.8.4. Копія паспорта (ст</w:t>
      </w:r>
      <w:r w:rsidR="006C5116">
        <w:rPr>
          <w:rFonts w:ascii="Arial" w:hAnsi="Arial" w:cs="Arial"/>
          <w:sz w:val="26"/>
          <w:szCs w:val="26"/>
        </w:rPr>
        <w:t>орінки</w:t>
      </w:r>
      <w:r w:rsidRPr="00305907">
        <w:rPr>
          <w:rFonts w:ascii="Arial" w:hAnsi="Arial" w:cs="Arial"/>
          <w:sz w:val="26"/>
          <w:szCs w:val="26"/>
        </w:rPr>
        <w:t xml:space="preserve"> 1,</w:t>
      </w:r>
      <w:r w:rsidR="006C5116">
        <w:rPr>
          <w:rFonts w:ascii="Arial" w:hAnsi="Arial" w:cs="Arial"/>
          <w:sz w:val="26"/>
          <w:szCs w:val="26"/>
        </w:rPr>
        <w:t xml:space="preserve"> </w:t>
      </w:r>
      <w:r w:rsidRPr="00305907">
        <w:rPr>
          <w:rFonts w:ascii="Arial" w:hAnsi="Arial" w:cs="Arial"/>
          <w:sz w:val="26"/>
          <w:szCs w:val="26"/>
        </w:rPr>
        <w:t>2</w:t>
      </w:r>
      <w:r w:rsidR="006C5116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а також сторінки з відміткою про реєстрацію місця проживання) або копія ID паспорта громадянина України та копія </w:t>
      </w:r>
      <w:r w:rsidR="006C5116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>итягу з Єдиного державного демографічного реєстру, що підтверджує проживання на території Львівської М</w:t>
      </w:r>
      <w:r w:rsidR="00ED598D">
        <w:rPr>
          <w:rFonts w:ascii="Arial" w:hAnsi="Arial" w:cs="Arial"/>
          <w:sz w:val="26"/>
          <w:szCs w:val="26"/>
        </w:rPr>
        <w:t>ТГ</w:t>
      </w:r>
      <w:r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4.8.5. Копія індивідуальної програми реабілітації із зазначенням потреби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зубопротезуванні (лише для осіб з інвалідністю загального захворювання І та ІІ групи).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4.8.6. Копія плану лікування та протезування.</w:t>
      </w:r>
    </w:p>
    <w:p w:rsidR="00104B09" w:rsidRPr="005A0AB0" w:rsidRDefault="00104B09" w:rsidP="00104B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 xml:space="preserve">4.8.7. Копія витягу з Єдиного реєстру осіб, зниклих безвісти за особливих обставин, та документи на підтвердження першого ступеня споріднення для категорії пільговиків, визначених у підпункті 7 пункту 4.4 цієї Програми. </w:t>
      </w:r>
    </w:p>
    <w:p w:rsidR="00033B15" w:rsidRDefault="00104B09" w:rsidP="00104B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>4.8.8. Копія виписки з Єдиного реєстру осіб, стосовно яких встановлено факт позбавлення особистої свободи внаслідок збройної агресії проти України, та документи на підтвердження першого ступеня споріднення для категорії пільговиків, визначених у підпункті 8 пункт</w:t>
      </w:r>
      <w:r>
        <w:rPr>
          <w:rFonts w:ascii="Arial" w:hAnsi="Arial" w:cs="Arial"/>
          <w:sz w:val="26"/>
          <w:szCs w:val="26"/>
        </w:rPr>
        <w:t>у 4.4 цієї Програми</w:t>
      </w:r>
      <w:r w:rsidR="00033B15">
        <w:rPr>
          <w:rFonts w:ascii="Arial" w:hAnsi="Arial" w:cs="Arial"/>
          <w:sz w:val="26"/>
          <w:szCs w:val="26"/>
        </w:rPr>
        <w:t>.</w:t>
      </w:r>
    </w:p>
    <w:p w:rsidR="00104B09" w:rsidRPr="005A0AB0" w:rsidRDefault="00104B09" w:rsidP="00104B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 xml:space="preserve">4.8.9. Документи, що підтверджують право на отримання податкової соціальної пільги, для категорії пільговиків, визначених у підпункті 10 пункту 4.4 цієї Програми. </w:t>
      </w:r>
    </w:p>
    <w:p w:rsidR="00104B09" w:rsidRDefault="00104B09" w:rsidP="00104B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0AB0">
        <w:rPr>
          <w:rFonts w:ascii="Arial" w:hAnsi="Arial" w:cs="Arial"/>
          <w:sz w:val="26"/>
          <w:szCs w:val="26"/>
        </w:rPr>
        <w:t>4.8.10. Інші документи (залежно від обставин, що склались)</w:t>
      </w:r>
      <w:r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 Підстави для відмови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зарахуванні на облік та/або в отриманні послуг із пільгового зубопротезування та лікувально-хірургічної підготовки до нього відповідно до заходів цієї Програми: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4.9.1. Відсутність медичних показань до зубопротезування.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4.9.2. Відсутність повного комплекту документів, визначених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п. 4.8 цієї Програми</w:t>
      </w:r>
      <w:r w:rsidR="006C5116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та/або виявлена недостовірність поданих документів.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4.9.3. Попереднє зарахування на облік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4.9.4. Відсутність бюджетних призначень, передбачених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бюджеті Львівської МТГ у поточному році.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4.9.5. Перевищення потреби у коштах із </w:t>
      </w:r>
      <w:r w:rsidR="006C5116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>рахуванням кількості пільговиків до видатків, передбачених у бюджеті Львівської МТГ на відповідний рік на виконання заходів цієї Програми.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lastRenderedPageBreak/>
        <w:t xml:space="preserve">4.10. Підстави для зняття з обліку пільгових категорій громадян, які мають право </w:t>
      </w:r>
      <w:r w:rsidR="006C5116">
        <w:rPr>
          <w:rFonts w:ascii="Arial" w:hAnsi="Arial" w:cs="Arial"/>
          <w:sz w:val="26"/>
          <w:szCs w:val="26"/>
        </w:rPr>
        <w:t xml:space="preserve">на </w:t>
      </w:r>
      <w:r w:rsidRPr="00305907">
        <w:rPr>
          <w:rFonts w:ascii="Arial" w:hAnsi="Arial" w:cs="Arial"/>
          <w:sz w:val="26"/>
          <w:szCs w:val="26"/>
        </w:rPr>
        <w:t>пільгове зубопротезування та лікувально-хірургічну підготовку до нього відповідно до заходів цієї Програми: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4.10.1. Проведення протезування з поновленням жувальної спроможності із застосуванням зубних протезів та лікувально-хірургічної підготовки до нього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повному обсязі відповідно до складеного плану лікування та протезування.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4.10.2. Заява пільговика про відмову у наданні послуг.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4.10.3. Завершення терміну, який дає право </w:t>
      </w:r>
      <w:r w:rsidR="006C5116">
        <w:rPr>
          <w:rFonts w:ascii="Arial" w:hAnsi="Arial" w:cs="Arial"/>
          <w:sz w:val="26"/>
          <w:szCs w:val="26"/>
        </w:rPr>
        <w:t>зарахування</w:t>
      </w:r>
      <w:r w:rsidRPr="00305907">
        <w:rPr>
          <w:rFonts w:ascii="Arial" w:hAnsi="Arial" w:cs="Arial"/>
          <w:sz w:val="26"/>
          <w:szCs w:val="26"/>
        </w:rPr>
        <w:t xml:space="preserve"> на облік для певної категорії пільговиків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4.10.4. Дворазова відмова пільговика від запропонованого місяця лікування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4.10.5. Неявка пільговика за запрошенням без попередження (</w:t>
      </w:r>
      <w:r w:rsidR="006C5116">
        <w:rPr>
          <w:rFonts w:ascii="Arial" w:hAnsi="Arial" w:cs="Arial"/>
          <w:sz w:val="26"/>
          <w:szCs w:val="26"/>
        </w:rPr>
        <w:t>протягом</w:t>
      </w:r>
      <w:r w:rsidRPr="00305907">
        <w:rPr>
          <w:rFonts w:ascii="Arial" w:hAnsi="Arial" w:cs="Arial"/>
          <w:sz w:val="26"/>
          <w:szCs w:val="26"/>
        </w:rPr>
        <w:t xml:space="preserve"> місяця з дня повідомлення)/заяви про відстрочення терміну надання послуг.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4.10.6. Некоректні контактні дані пільговика, за якими неможливо здійснити зворотній зв'язок.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4.10.7. Зміна місця реєстрації проживання, внаслідок чого пільговик перестав бути </w:t>
      </w:r>
      <w:r w:rsidR="006C5116">
        <w:rPr>
          <w:rFonts w:ascii="Arial" w:hAnsi="Arial" w:cs="Arial"/>
          <w:sz w:val="26"/>
          <w:szCs w:val="26"/>
        </w:rPr>
        <w:t>жителем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4.10.8. Смерть пільговика.</w:t>
      </w:r>
    </w:p>
    <w:p w:rsidR="00563A49" w:rsidRPr="00305907" w:rsidRDefault="00853671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A0C9A">
        <w:rPr>
          <w:rFonts w:ascii="Arial" w:hAnsi="Arial" w:cs="Arial"/>
          <w:sz w:val="26"/>
          <w:szCs w:val="26"/>
        </w:rPr>
        <w:t xml:space="preserve">4.11. Для отримання послуг з пільгового зубопротезування та лікувально-хірургічної підготовки до нього пільговик звертається до лікаря – стоматолога-ортопеда, який визначає об'єм послуг та складає план протезування. При потребі лікування залучає лікаря-стоматолога-хірурга і стоматолога-терапевта, </w:t>
      </w:r>
      <w:r>
        <w:rPr>
          <w:rFonts w:ascii="Arial" w:hAnsi="Arial" w:cs="Arial"/>
          <w:sz w:val="26"/>
          <w:szCs w:val="26"/>
        </w:rPr>
        <w:t>котрі</w:t>
      </w:r>
      <w:r w:rsidRPr="008A0C9A">
        <w:rPr>
          <w:rFonts w:ascii="Arial" w:hAnsi="Arial" w:cs="Arial"/>
          <w:sz w:val="26"/>
          <w:szCs w:val="26"/>
        </w:rPr>
        <w:t xml:space="preserve"> теж визначають об'єм послуг та складають загальний план лікування і протезування, який погоджують пільговик або його опікун та керівник структурного підрозділу закладу охорони здоров’я – надавача послуги. Первинний огляд пільговиків для визначення об'єму послуг та складання плану лікування та протезування коштами Програми не відшкодовується</w:t>
      </w:r>
      <w:r w:rsidR="00563A49" w:rsidRPr="00305907">
        <w:rPr>
          <w:rFonts w:ascii="Arial" w:hAnsi="Arial" w:cs="Arial"/>
          <w:sz w:val="26"/>
          <w:szCs w:val="26"/>
        </w:rPr>
        <w:t>.</w:t>
      </w:r>
    </w:p>
    <w:p w:rsidR="00563A49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4.12. Факт проведення протезування з поновленням жувальної спроможності із застосуванням зубних протезів та лікувально-хірургічної підготовки до нього відповідно до складеного плану лікування та протезування засвідчується пільговиком особистим підписом у цьому плані лікування.</w:t>
      </w:r>
    </w:p>
    <w:p w:rsidR="00033B15" w:rsidRPr="00305907" w:rsidRDefault="00033B15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511A0">
        <w:rPr>
          <w:rFonts w:ascii="Arial" w:hAnsi="Arial" w:cs="Arial"/>
          <w:sz w:val="26"/>
          <w:szCs w:val="26"/>
        </w:rPr>
        <w:t>4.13. Медичний заклад, який законтрактований з Національною службою здоров’я України (</w:t>
      </w:r>
      <w:r>
        <w:rPr>
          <w:rFonts w:ascii="Arial" w:hAnsi="Arial" w:cs="Arial"/>
          <w:sz w:val="26"/>
          <w:szCs w:val="26"/>
        </w:rPr>
        <w:t>на</w:t>
      </w:r>
      <w:r w:rsidRPr="009511A0">
        <w:rPr>
          <w:rFonts w:ascii="Arial" w:hAnsi="Arial" w:cs="Arial"/>
          <w:sz w:val="26"/>
          <w:szCs w:val="26"/>
        </w:rPr>
        <w:t>далі</w:t>
      </w:r>
      <w:r>
        <w:rPr>
          <w:rFonts w:ascii="Arial" w:hAnsi="Arial" w:cs="Arial"/>
          <w:sz w:val="26"/>
          <w:szCs w:val="26"/>
        </w:rPr>
        <w:t xml:space="preserve"> –</w:t>
      </w:r>
      <w:r w:rsidRPr="009511A0">
        <w:rPr>
          <w:rFonts w:ascii="Arial" w:hAnsi="Arial" w:cs="Arial"/>
          <w:sz w:val="26"/>
          <w:szCs w:val="26"/>
        </w:rPr>
        <w:t xml:space="preserve"> НСЗУ) та має укладений договір </w:t>
      </w:r>
      <w:r>
        <w:rPr>
          <w:rFonts w:ascii="Arial" w:hAnsi="Arial" w:cs="Arial"/>
          <w:sz w:val="26"/>
          <w:szCs w:val="26"/>
        </w:rPr>
        <w:t>за</w:t>
      </w:r>
      <w:r w:rsidRPr="009511A0">
        <w:rPr>
          <w:rFonts w:ascii="Arial" w:hAnsi="Arial" w:cs="Arial"/>
          <w:sz w:val="26"/>
          <w:szCs w:val="26"/>
        </w:rPr>
        <w:t xml:space="preserve"> Програм</w:t>
      </w:r>
      <w:r>
        <w:rPr>
          <w:rFonts w:ascii="Arial" w:hAnsi="Arial" w:cs="Arial"/>
          <w:sz w:val="26"/>
          <w:szCs w:val="26"/>
        </w:rPr>
        <w:t>ою</w:t>
      </w:r>
      <w:r w:rsidRPr="009511A0">
        <w:rPr>
          <w:rFonts w:ascii="Arial" w:hAnsi="Arial" w:cs="Arial"/>
          <w:sz w:val="26"/>
          <w:szCs w:val="26"/>
        </w:rPr>
        <w:t xml:space="preserve"> медичних гарантій на послугу </w:t>
      </w:r>
      <w:r>
        <w:rPr>
          <w:rFonts w:ascii="Arial" w:hAnsi="Arial" w:cs="Arial"/>
          <w:sz w:val="26"/>
          <w:szCs w:val="26"/>
        </w:rPr>
        <w:t>"</w:t>
      </w:r>
      <w:r w:rsidRPr="009511A0">
        <w:rPr>
          <w:rFonts w:ascii="Arial" w:hAnsi="Arial" w:cs="Arial"/>
          <w:sz w:val="26"/>
          <w:szCs w:val="26"/>
        </w:rPr>
        <w:t>Зубопротезування окремих категорій осіб, які захищали незалежність, суверенітет та територіальну цілісність України</w:t>
      </w:r>
      <w:r>
        <w:rPr>
          <w:rFonts w:ascii="Arial" w:hAnsi="Arial" w:cs="Arial"/>
          <w:sz w:val="26"/>
          <w:szCs w:val="26"/>
        </w:rPr>
        <w:t>"</w:t>
      </w:r>
      <w:r w:rsidRPr="009511A0">
        <w:rPr>
          <w:rFonts w:ascii="Arial" w:hAnsi="Arial" w:cs="Arial"/>
          <w:sz w:val="26"/>
          <w:szCs w:val="26"/>
        </w:rPr>
        <w:t xml:space="preserve"> відповідно до постанови Кабінету Міністрів України від 27.02.2024 № 212 </w:t>
      </w:r>
      <w:r>
        <w:rPr>
          <w:rFonts w:ascii="Arial" w:hAnsi="Arial" w:cs="Arial"/>
          <w:sz w:val="26"/>
          <w:szCs w:val="26"/>
        </w:rPr>
        <w:t>"</w:t>
      </w:r>
      <w:r w:rsidRPr="009511A0">
        <w:rPr>
          <w:rFonts w:ascii="Arial" w:hAnsi="Arial" w:cs="Arial"/>
          <w:sz w:val="26"/>
          <w:szCs w:val="26"/>
        </w:rPr>
        <w:t>Деякі питання реалізації пілотного проекту щодо зубопротезування окремих категорій осіб, які захищали незалежність, суверенітет та територіальну цілісність України</w:t>
      </w:r>
      <w:r>
        <w:rPr>
          <w:rFonts w:ascii="Arial" w:hAnsi="Arial" w:cs="Arial"/>
          <w:sz w:val="26"/>
          <w:szCs w:val="26"/>
        </w:rPr>
        <w:t>"</w:t>
      </w:r>
      <w:r w:rsidRPr="009511A0">
        <w:rPr>
          <w:rFonts w:ascii="Arial" w:hAnsi="Arial" w:cs="Arial"/>
          <w:sz w:val="26"/>
          <w:szCs w:val="26"/>
        </w:rPr>
        <w:t xml:space="preserve"> (</w:t>
      </w:r>
      <w:r>
        <w:rPr>
          <w:rFonts w:ascii="Arial" w:hAnsi="Arial" w:cs="Arial"/>
          <w:sz w:val="26"/>
          <w:szCs w:val="26"/>
        </w:rPr>
        <w:t>на</w:t>
      </w:r>
      <w:r w:rsidRPr="009511A0">
        <w:rPr>
          <w:rFonts w:ascii="Arial" w:hAnsi="Arial" w:cs="Arial"/>
          <w:sz w:val="26"/>
          <w:szCs w:val="26"/>
        </w:rPr>
        <w:t xml:space="preserve">далі </w:t>
      </w:r>
      <w:r>
        <w:rPr>
          <w:rFonts w:ascii="Arial" w:hAnsi="Arial" w:cs="Arial"/>
          <w:sz w:val="26"/>
          <w:szCs w:val="26"/>
        </w:rPr>
        <w:t xml:space="preserve">– </w:t>
      </w:r>
      <w:r w:rsidRPr="009511A0">
        <w:rPr>
          <w:rFonts w:ascii="Arial" w:hAnsi="Arial" w:cs="Arial"/>
          <w:sz w:val="26"/>
          <w:szCs w:val="26"/>
        </w:rPr>
        <w:t>Постанова КМУ)</w:t>
      </w:r>
      <w:r>
        <w:rPr>
          <w:rFonts w:ascii="Arial" w:hAnsi="Arial" w:cs="Arial"/>
          <w:sz w:val="26"/>
          <w:szCs w:val="26"/>
        </w:rPr>
        <w:t>,</w:t>
      </w:r>
      <w:r w:rsidRPr="009511A0">
        <w:rPr>
          <w:rFonts w:ascii="Arial" w:hAnsi="Arial" w:cs="Arial"/>
          <w:sz w:val="26"/>
          <w:szCs w:val="26"/>
        </w:rPr>
        <w:t xml:space="preserve"> у разі потреби має право на зубопротезування та лікувально-хірургічну підготовку до нього пільгових категорій жителів Львівської МТГ</w:t>
      </w:r>
      <w:r>
        <w:rPr>
          <w:rFonts w:ascii="Arial" w:hAnsi="Arial" w:cs="Arial"/>
          <w:sz w:val="26"/>
          <w:szCs w:val="26"/>
        </w:rPr>
        <w:t>,</w:t>
      </w:r>
      <w:r w:rsidRPr="009511A0">
        <w:rPr>
          <w:rFonts w:ascii="Arial" w:hAnsi="Arial" w:cs="Arial"/>
          <w:sz w:val="26"/>
          <w:szCs w:val="26"/>
        </w:rPr>
        <w:t xml:space="preserve"> визначених Постановою КМУ</w:t>
      </w:r>
      <w:r>
        <w:rPr>
          <w:rFonts w:ascii="Arial" w:hAnsi="Arial" w:cs="Arial"/>
          <w:sz w:val="26"/>
          <w:szCs w:val="26"/>
        </w:rPr>
        <w:t>,</w:t>
      </w:r>
      <w:r w:rsidRPr="009511A0">
        <w:rPr>
          <w:rFonts w:ascii="Arial" w:hAnsi="Arial" w:cs="Arial"/>
          <w:sz w:val="26"/>
          <w:szCs w:val="26"/>
        </w:rPr>
        <w:t xml:space="preserve"> за кошти Програми понад фактично надані медичні послуги за договором з НСЗУ</w:t>
      </w:r>
      <w:r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6C5116" w:rsidRDefault="00563A49" w:rsidP="006C5116">
      <w:pPr>
        <w:jc w:val="center"/>
        <w:rPr>
          <w:rFonts w:ascii="Arial" w:eastAsiaTheme="minorHAnsi" w:hAnsi="Arial" w:cs="Arial"/>
          <w:b/>
          <w:sz w:val="26"/>
          <w:szCs w:val="26"/>
        </w:rPr>
      </w:pPr>
      <w:r w:rsidRPr="006C5116">
        <w:rPr>
          <w:rFonts w:ascii="Arial" w:hAnsi="Arial" w:cs="Arial"/>
          <w:b/>
          <w:sz w:val="26"/>
          <w:szCs w:val="26"/>
        </w:rPr>
        <w:t>5. Фінансування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bookmarkStart w:id="1" w:name="_Hlk131547961"/>
    </w:p>
    <w:p w:rsidR="00563A49" w:rsidRPr="00305907" w:rsidRDefault="00033B15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511A0">
        <w:rPr>
          <w:rFonts w:ascii="Arial" w:hAnsi="Arial" w:cs="Arial"/>
          <w:sz w:val="26"/>
          <w:szCs w:val="26"/>
        </w:rPr>
        <w:lastRenderedPageBreak/>
        <w:t>5.1. Фінансове забезпечення Програми здійснюється за кошти, передбачені у бюджеті Львівської міської територіальної громади на відповідний рік, та кошти інших джерел, не заборонених законодавством України</w:t>
      </w:r>
      <w:r w:rsidR="00563A49"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5.2. Не допускається скерування бюджетних коштів на здійснення завдань, не передбачених цією Програмою.</w:t>
      </w:r>
    </w:p>
    <w:bookmarkEnd w:id="1"/>
    <w:p w:rsidR="00563A49" w:rsidRPr="00305907" w:rsidRDefault="00563A49" w:rsidP="00305907">
      <w:pPr>
        <w:jc w:val="both"/>
        <w:rPr>
          <w:rFonts w:ascii="Arial" w:eastAsiaTheme="minorHAnsi" w:hAnsi="Arial" w:cs="Arial"/>
          <w:sz w:val="26"/>
          <w:szCs w:val="26"/>
        </w:rPr>
      </w:pPr>
    </w:p>
    <w:p w:rsidR="00563A49" w:rsidRPr="00695398" w:rsidRDefault="00563A49" w:rsidP="00695398">
      <w:pPr>
        <w:jc w:val="center"/>
        <w:rPr>
          <w:rFonts w:ascii="Arial" w:hAnsi="Arial" w:cs="Arial"/>
          <w:b/>
          <w:sz w:val="26"/>
          <w:szCs w:val="26"/>
        </w:rPr>
      </w:pPr>
      <w:r w:rsidRPr="00695398">
        <w:rPr>
          <w:rFonts w:ascii="Arial" w:hAnsi="Arial" w:cs="Arial"/>
          <w:b/>
          <w:sz w:val="26"/>
          <w:szCs w:val="26"/>
        </w:rPr>
        <w:t>6. Виконавці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bookmarkStart w:id="2" w:name="_Hlk131547997"/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6.1. Відповідальним виконавцями Програми є: </w:t>
      </w:r>
      <w:r w:rsidR="00695398">
        <w:rPr>
          <w:rFonts w:ascii="Arial" w:hAnsi="Arial" w:cs="Arial"/>
          <w:sz w:val="26"/>
          <w:szCs w:val="26"/>
        </w:rPr>
        <w:t>Комунальне некомерційне підприємство</w:t>
      </w:r>
      <w:r w:rsidRPr="00305907">
        <w:rPr>
          <w:rFonts w:ascii="Arial" w:hAnsi="Arial" w:cs="Arial"/>
          <w:sz w:val="26"/>
          <w:szCs w:val="26"/>
        </w:rPr>
        <w:t xml:space="preserve"> "Стоматологічна поліклініка № 1" (</w:t>
      </w:r>
      <w:r w:rsidR="00695398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</w:t>
      </w:r>
      <w:r w:rsidR="00695398">
        <w:rPr>
          <w:rFonts w:ascii="Arial" w:hAnsi="Arial" w:cs="Arial"/>
          <w:sz w:val="26"/>
          <w:szCs w:val="26"/>
        </w:rPr>
        <w:t>–</w:t>
      </w:r>
      <w:r w:rsidRPr="00305907">
        <w:rPr>
          <w:rFonts w:ascii="Arial" w:hAnsi="Arial" w:cs="Arial"/>
          <w:sz w:val="26"/>
          <w:szCs w:val="26"/>
        </w:rPr>
        <w:t xml:space="preserve"> КНП "СП № 1"), </w:t>
      </w:r>
      <w:r w:rsidR="00695398">
        <w:rPr>
          <w:rFonts w:ascii="Arial" w:hAnsi="Arial" w:cs="Arial"/>
          <w:sz w:val="26"/>
          <w:szCs w:val="26"/>
        </w:rPr>
        <w:t>Комунальне некомерційне підприємство</w:t>
      </w:r>
      <w:r w:rsidRPr="00305907">
        <w:rPr>
          <w:rFonts w:ascii="Arial" w:hAnsi="Arial" w:cs="Arial"/>
          <w:sz w:val="26"/>
          <w:szCs w:val="26"/>
        </w:rPr>
        <w:t xml:space="preserve"> "Стомат</w:t>
      </w:r>
      <w:r w:rsidR="00695398">
        <w:rPr>
          <w:rFonts w:ascii="Arial" w:hAnsi="Arial" w:cs="Arial"/>
          <w:sz w:val="26"/>
          <w:szCs w:val="26"/>
        </w:rPr>
        <w:t xml:space="preserve">ологічна поліклініка </w:t>
      </w:r>
      <w:r w:rsidRPr="00305907">
        <w:rPr>
          <w:rFonts w:ascii="Arial" w:hAnsi="Arial" w:cs="Arial"/>
          <w:sz w:val="26"/>
          <w:szCs w:val="26"/>
        </w:rPr>
        <w:t>№ 4" (</w:t>
      </w:r>
      <w:r w:rsidR="00695398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</w:t>
      </w:r>
      <w:r w:rsidR="00695398">
        <w:rPr>
          <w:rFonts w:ascii="Arial" w:hAnsi="Arial" w:cs="Arial"/>
          <w:sz w:val="26"/>
          <w:szCs w:val="26"/>
        </w:rPr>
        <w:t>–</w:t>
      </w:r>
      <w:r w:rsidRPr="00305907">
        <w:rPr>
          <w:rFonts w:ascii="Arial" w:hAnsi="Arial" w:cs="Arial"/>
          <w:sz w:val="26"/>
          <w:szCs w:val="26"/>
        </w:rPr>
        <w:t xml:space="preserve"> КНП "СП № 4") та Госпрозрахункова</w:t>
      </w:r>
      <w:bookmarkEnd w:id="2"/>
      <w:r w:rsidRPr="00305907">
        <w:rPr>
          <w:rFonts w:ascii="Arial" w:hAnsi="Arial" w:cs="Arial"/>
          <w:sz w:val="26"/>
          <w:szCs w:val="26"/>
        </w:rPr>
        <w:t xml:space="preserve"> стоматологічна поліклініка м. Львова (надалі – ГСП)</w:t>
      </w:r>
      <w:r w:rsidR="00033B15">
        <w:rPr>
          <w:rFonts w:ascii="Arial" w:hAnsi="Arial" w:cs="Arial"/>
          <w:sz w:val="26"/>
          <w:szCs w:val="26"/>
        </w:rPr>
        <w:t>,</w:t>
      </w:r>
      <w:r w:rsidR="00033B15" w:rsidRPr="00033B15">
        <w:rPr>
          <w:rFonts w:ascii="Arial" w:hAnsi="Arial" w:cs="Arial"/>
          <w:sz w:val="26"/>
          <w:szCs w:val="26"/>
        </w:rPr>
        <w:t xml:space="preserve"> </w:t>
      </w:r>
      <w:r w:rsidR="00033B15">
        <w:rPr>
          <w:rFonts w:ascii="Arial" w:hAnsi="Arial" w:cs="Arial"/>
          <w:sz w:val="26"/>
          <w:szCs w:val="26"/>
        </w:rPr>
        <w:t>у</w:t>
      </w:r>
      <w:r w:rsidR="00033B15" w:rsidRPr="009511A0">
        <w:rPr>
          <w:rFonts w:ascii="Arial" w:hAnsi="Arial" w:cs="Arial"/>
          <w:sz w:val="26"/>
          <w:szCs w:val="26"/>
        </w:rPr>
        <w:t>правління охорони здоров’я деп</w:t>
      </w:r>
      <w:r w:rsidR="00033B15">
        <w:rPr>
          <w:rFonts w:ascii="Arial" w:hAnsi="Arial" w:cs="Arial"/>
          <w:sz w:val="26"/>
          <w:szCs w:val="26"/>
        </w:rPr>
        <w:t>артаменту гуманітарної політики</w:t>
      </w:r>
      <w:r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695398" w:rsidRDefault="00563A49" w:rsidP="00695398">
      <w:pPr>
        <w:jc w:val="center"/>
        <w:rPr>
          <w:rFonts w:ascii="Arial" w:hAnsi="Arial" w:cs="Arial"/>
          <w:b/>
          <w:sz w:val="26"/>
          <w:szCs w:val="26"/>
        </w:rPr>
      </w:pPr>
      <w:r w:rsidRPr="00695398">
        <w:rPr>
          <w:rFonts w:ascii="Arial" w:hAnsi="Arial" w:cs="Arial"/>
          <w:b/>
          <w:sz w:val="26"/>
          <w:szCs w:val="26"/>
        </w:rPr>
        <w:t>7. Порядок відшкодування послуг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7.1. Відшкодування витрат за надані послуги з зубопротезування та лікувально-хірургічної підготовки до нього пільгових категорій громадян </w:t>
      </w:r>
      <w:r w:rsidR="00695398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 КНП "СП № 1", КНП "СП № 4" та ГСП здійснюється щомісячно у межах видатків, передбачених у бюджеті Львівської МТГ на відповідний рік.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7.2. КНП "СП № 1", КНП "СП № 4" та ГСП надають платні послуги за тарифами, які затверджені 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</w:t>
      </w:r>
      <w:r w:rsidR="00695398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>становленому порядку.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7.3. Для отримання коштів за фактично понесені витрати на проведення зубопротезування та лікувально-хірургічн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пільгових категорій громадян КНП "СП № 1", КНП "СП № 4" та ГСП щомісячно до 5 числа місяця, наступного за звітним</w:t>
      </w:r>
      <w:r w:rsidR="00ED598D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надає управлінню охорони здоров’я </w:t>
      </w:r>
      <w:r w:rsidR="002C5254" w:rsidRPr="00305907">
        <w:rPr>
          <w:rFonts w:ascii="Arial" w:hAnsi="Arial" w:cs="Arial"/>
          <w:sz w:val="26"/>
          <w:szCs w:val="26"/>
        </w:rPr>
        <w:t xml:space="preserve">департаменту гуманітарної політики </w:t>
      </w:r>
      <w:r w:rsidRPr="00305907">
        <w:rPr>
          <w:rFonts w:ascii="Arial" w:hAnsi="Arial" w:cs="Arial"/>
          <w:sz w:val="26"/>
          <w:szCs w:val="26"/>
        </w:rPr>
        <w:t xml:space="preserve">акт про надані послуги, 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якому зазначається прізвище, ім’я та по батькові пацієнта, категорія та номер посвідчення, адреса проживання, дата надання послуги, назва послуги із стоматологічної допомоги, кількість наданих послуг, ціна за послугу (грн</w:t>
      </w:r>
      <w:r w:rsidR="00ED598D">
        <w:rPr>
          <w:rFonts w:ascii="Arial" w:hAnsi="Arial" w:cs="Arial"/>
          <w:sz w:val="26"/>
          <w:szCs w:val="26"/>
        </w:rPr>
        <w:t>.</w:t>
      </w:r>
      <w:r w:rsidRPr="00305907">
        <w:rPr>
          <w:rFonts w:ascii="Arial" w:hAnsi="Arial" w:cs="Arial"/>
          <w:sz w:val="26"/>
          <w:szCs w:val="26"/>
        </w:rPr>
        <w:t>) та сума відшкодування (грн</w:t>
      </w:r>
      <w:r w:rsidR="00ED598D">
        <w:rPr>
          <w:rFonts w:ascii="Arial" w:hAnsi="Arial" w:cs="Arial"/>
          <w:sz w:val="26"/>
          <w:szCs w:val="26"/>
        </w:rPr>
        <w:t>.</w:t>
      </w:r>
      <w:r w:rsidRPr="00305907">
        <w:rPr>
          <w:rFonts w:ascii="Arial" w:hAnsi="Arial" w:cs="Arial"/>
          <w:sz w:val="26"/>
          <w:szCs w:val="26"/>
        </w:rPr>
        <w:t>).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7.4. Управління охорони здоров’я </w:t>
      </w:r>
      <w:r w:rsidR="002C5254" w:rsidRPr="00305907">
        <w:rPr>
          <w:rFonts w:ascii="Arial" w:hAnsi="Arial" w:cs="Arial"/>
          <w:sz w:val="26"/>
          <w:szCs w:val="26"/>
        </w:rPr>
        <w:t xml:space="preserve">департаменту гуманітарної політики </w:t>
      </w:r>
      <w:r w:rsidRPr="00305907">
        <w:rPr>
          <w:rFonts w:ascii="Arial" w:hAnsi="Arial" w:cs="Arial"/>
          <w:sz w:val="26"/>
          <w:szCs w:val="26"/>
        </w:rPr>
        <w:t>після отримання фінансування з бюджету Львівської МТГ здійснює перерахування коштів КНП "СП № 1", КНП "СП № 4" та ГСП для відшкодування витрат за надані послуги з зубопротезування та лікувально-хірургічної підготовки до нього пільговим категоріям громадян Львівської МТГ.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7.5. КНП "СП № 1", КНП "СП № 4" та ГСП несуть відповідальність за достовірність даних в актах про надані послуги, якість надання послуг з зубопротезування та лікувально-хірургічної підготовки до нього пільговим категоріям громадян </w:t>
      </w:r>
      <w:r w:rsidR="00695398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7.6. Складання та подання фінансової звітності про використання бюджетних коштів, а також контроль за їх цільовим та ефективним ви</w:t>
      </w:r>
      <w:r w:rsidR="00695398">
        <w:rPr>
          <w:rFonts w:ascii="Arial" w:hAnsi="Arial" w:cs="Arial"/>
          <w:sz w:val="26"/>
          <w:szCs w:val="26"/>
        </w:rPr>
        <w:t>користання</w:t>
      </w:r>
      <w:r w:rsidR="00275387">
        <w:rPr>
          <w:rFonts w:ascii="Arial" w:hAnsi="Arial" w:cs="Arial"/>
          <w:sz w:val="26"/>
          <w:szCs w:val="26"/>
        </w:rPr>
        <w:t>м</w:t>
      </w:r>
      <w:r w:rsidRPr="00305907">
        <w:rPr>
          <w:rFonts w:ascii="Arial" w:hAnsi="Arial" w:cs="Arial"/>
          <w:sz w:val="26"/>
          <w:szCs w:val="26"/>
        </w:rPr>
        <w:t xml:space="preserve"> здійснюється 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</w:t>
      </w:r>
      <w:r w:rsidR="00695398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 xml:space="preserve">становленому законодавством </w:t>
      </w:r>
      <w:r w:rsidR="00695398">
        <w:rPr>
          <w:rFonts w:ascii="Arial" w:hAnsi="Arial" w:cs="Arial"/>
          <w:sz w:val="26"/>
          <w:szCs w:val="26"/>
        </w:rPr>
        <w:t xml:space="preserve">України </w:t>
      </w:r>
      <w:r w:rsidRPr="00305907">
        <w:rPr>
          <w:rFonts w:ascii="Arial" w:hAnsi="Arial" w:cs="Arial"/>
          <w:sz w:val="26"/>
          <w:szCs w:val="26"/>
        </w:rPr>
        <w:t>порядку.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695398" w:rsidRDefault="00563A49" w:rsidP="00695398">
      <w:pPr>
        <w:jc w:val="center"/>
        <w:rPr>
          <w:rFonts w:ascii="Arial" w:hAnsi="Arial" w:cs="Arial"/>
          <w:b/>
          <w:sz w:val="26"/>
          <w:szCs w:val="26"/>
        </w:rPr>
      </w:pPr>
      <w:r w:rsidRPr="00695398">
        <w:rPr>
          <w:rFonts w:ascii="Arial" w:hAnsi="Arial" w:cs="Arial"/>
          <w:b/>
          <w:sz w:val="26"/>
          <w:szCs w:val="26"/>
        </w:rPr>
        <w:t>8. Очікувані результати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lastRenderedPageBreak/>
        <w:t xml:space="preserve">8.1. Виконання </w:t>
      </w:r>
      <w:r w:rsidR="00695398">
        <w:rPr>
          <w:rFonts w:ascii="Arial" w:hAnsi="Arial" w:cs="Arial"/>
          <w:sz w:val="26"/>
          <w:szCs w:val="26"/>
        </w:rPr>
        <w:t>П</w:t>
      </w:r>
      <w:r w:rsidRPr="00305907">
        <w:rPr>
          <w:rFonts w:ascii="Arial" w:hAnsi="Arial" w:cs="Arial"/>
          <w:sz w:val="26"/>
          <w:szCs w:val="26"/>
        </w:rPr>
        <w:t>рограми дасть можливість: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8.1.1. Створити умови для реалізації права на доступність до ортопедичної стоматологічної допомоги визначеним у Програмі категоріям </w:t>
      </w:r>
      <w:r w:rsidR="00695398">
        <w:rPr>
          <w:rFonts w:ascii="Arial" w:hAnsi="Arial" w:cs="Arial"/>
          <w:sz w:val="26"/>
          <w:szCs w:val="26"/>
        </w:rPr>
        <w:t>громадян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E927E6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8.1.2. </w:t>
      </w:r>
      <w:r w:rsidRPr="00E927E6">
        <w:rPr>
          <w:rFonts w:ascii="Arial" w:hAnsi="Arial" w:cs="Arial"/>
          <w:sz w:val="26"/>
          <w:szCs w:val="26"/>
        </w:rPr>
        <w:t xml:space="preserve">Дотримуватись вимог законодавства України щодо забезпечення </w:t>
      </w:r>
      <w:r w:rsidR="00E927E6" w:rsidRPr="00E927E6">
        <w:rPr>
          <w:rFonts w:ascii="Arial" w:hAnsi="Arial" w:cs="Arial"/>
          <w:sz w:val="26"/>
          <w:szCs w:val="26"/>
        </w:rPr>
        <w:t xml:space="preserve">гарантованого обсягу </w:t>
      </w:r>
      <w:r w:rsidRPr="00E927E6">
        <w:rPr>
          <w:rFonts w:ascii="Arial" w:hAnsi="Arial" w:cs="Arial"/>
          <w:sz w:val="26"/>
          <w:szCs w:val="26"/>
        </w:rPr>
        <w:t>стоматологічно</w:t>
      </w:r>
      <w:r w:rsidR="00E927E6" w:rsidRPr="00E927E6">
        <w:rPr>
          <w:rFonts w:ascii="Arial" w:hAnsi="Arial" w:cs="Arial"/>
          <w:sz w:val="26"/>
          <w:szCs w:val="26"/>
        </w:rPr>
        <w:t>ї</w:t>
      </w:r>
      <w:r w:rsidRPr="00E927E6">
        <w:rPr>
          <w:rFonts w:ascii="Arial" w:hAnsi="Arial" w:cs="Arial"/>
          <w:sz w:val="26"/>
          <w:szCs w:val="26"/>
        </w:rPr>
        <w:t xml:space="preserve"> допомог</w:t>
      </w:r>
      <w:r w:rsidR="00E927E6" w:rsidRPr="00E927E6">
        <w:rPr>
          <w:rFonts w:ascii="Arial" w:hAnsi="Arial" w:cs="Arial"/>
          <w:sz w:val="26"/>
          <w:szCs w:val="26"/>
        </w:rPr>
        <w:t>и</w:t>
      </w:r>
      <w:r w:rsidRPr="00E927E6">
        <w:rPr>
          <w:rFonts w:ascii="Arial" w:hAnsi="Arial" w:cs="Arial"/>
          <w:sz w:val="26"/>
          <w:szCs w:val="26"/>
        </w:rPr>
        <w:t xml:space="preserve"> категорій </w:t>
      </w:r>
      <w:r w:rsidR="00695398" w:rsidRPr="00E927E6">
        <w:rPr>
          <w:rFonts w:ascii="Arial" w:hAnsi="Arial" w:cs="Arial"/>
          <w:sz w:val="26"/>
          <w:szCs w:val="26"/>
        </w:rPr>
        <w:t>громадян</w:t>
      </w:r>
      <w:r w:rsidRPr="00E927E6">
        <w:rPr>
          <w:rFonts w:ascii="Arial" w:hAnsi="Arial" w:cs="Arial"/>
          <w:sz w:val="26"/>
          <w:szCs w:val="26"/>
        </w:rPr>
        <w:t>, визнач</w:t>
      </w:r>
      <w:r w:rsidR="00E927E6" w:rsidRPr="00E927E6">
        <w:rPr>
          <w:rFonts w:ascii="Arial" w:hAnsi="Arial" w:cs="Arial"/>
          <w:sz w:val="26"/>
          <w:szCs w:val="26"/>
        </w:rPr>
        <w:t>ених у пункті 4.4 цієї Програми</w:t>
      </w:r>
      <w:r w:rsidRPr="00E927E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8.1.3. Покращити жувальну і </w:t>
      </w:r>
      <w:proofErr w:type="spellStart"/>
      <w:r w:rsidRPr="00305907">
        <w:rPr>
          <w:rFonts w:ascii="Arial" w:hAnsi="Arial" w:cs="Arial"/>
          <w:sz w:val="26"/>
          <w:szCs w:val="26"/>
        </w:rPr>
        <w:t>мовну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функції щелепної системи</w:t>
      </w:r>
      <w:r w:rsidR="002C5254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визначеним у Програмі категоріям </w:t>
      </w:r>
      <w:r w:rsidR="002C5254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МТГ, покращити загальний стан їх</w:t>
      </w:r>
      <w:r w:rsidR="00ED598D">
        <w:rPr>
          <w:rFonts w:ascii="Arial" w:hAnsi="Arial" w:cs="Arial"/>
          <w:sz w:val="26"/>
          <w:szCs w:val="26"/>
        </w:rPr>
        <w:t>нього</w:t>
      </w:r>
      <w:r w:rsidRPr="00305907">
        <w:rPr>
          <w:rFonts w:ascii="Arial" w:hAnsi="Arial" w:cs="Arial"/>
          <w:sz w:val="26"/>
          <w:szCs w:val="26"/>
        </w:rPr>
        <w:t xml:space="preserve"> здоров’я і життя.</w:t>
      </w: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8.1.4. Зменшити соціальну напругу, пов’язану з неспроможністю самостійного забезпечення зубопротезуванням.</w:t>
      </w:r>
    </w:p>
    <w:p w:rsidR="002C5254" w:rsidRDefault="002C5254" w:rsidP="002C5254">
      <w:pPr>
        <w:jc w:val="center"/>
        <w:rPr>
          <w:rFonts w:ascii="Arial" w:hAnsi="Arial" w:cs="Arial"/>
          <w:b/>
          <w:sz w:val="26"/>
          <w:szCs w:val="26"/>
        </w:rPr>
      </w:pPr>
    </w:p>
    <w:p w:rsidR="00563A49" w:rsidRPr="002C5254" w:rsidRDefault="00563A49" w:rsidP="002C5254">
      <w:pPr>
        <w:jc w:val="center"/>
        <w:rPr>
          <w:rFonts w:ascii="Arial" w:hAnsi="Arial" w:cs="Arial"/>
          <w:b/>
          <w:sz w:val="26"/>
          <w:szCs w:val="26"/>
        </w:rPr>
      </w:pPr>
      <w:r w:rsidRPr="002C5254">
        <w:rPr>
          <w:rFonts w:ascii="Arial" w:hAnsi="Arial" w:cs="Arial"/>
          <w:b/>
          <w:sz w:val="26"/>
          <w:szCs w:val="26"/>
        </w:rPr>
        <w:t>9. Контроль за виконанням Програми</w:t>
      </w:r>
    </w:p>
    <w:p w:rsidR="002C5254" w:rsidRDefault="002C5254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9.1. Координацію та контроль за виконанням Програми здійснює управління охорони здоров’я департаменту гуманітарної політики Львівської міської ради.</w:t>
      </w: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9.2. Інформація про виконання цієї Програми розміщується на офіційному сайті Львівської міської ради та подається у публічний річний звіт про роботу структурних підрозділів міської ради перед громадськістю з дотриманням вимог законодавства України.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2C5254" w:rsidRDefault="002C5254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Секретар ради</w:t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  <w:t>Маркіян ЛОПАЧАК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Віза: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охорони здоров'я</w:t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="002C5254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>Марта МАТЮШКО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377E4C" w:rsidRPr="00305907" w:rsidRDefault="00377E4C" w:rsidP="00305907">
      <w:pPr>
        <w:jc w:val="both"/>
        <w:rPr>
          <w:rFonts w:ascii="Arial" w:hAnsi="Arial" w:cs="Arial"/>
          <w:sz w:val="26"/>
          <w:szCs w:val="26"/>
        </w:rPr>
      </w:pPr>
    </w:p>
    <w:sectPr w:rsidR="00377E4C" w:rsidRPr="00305907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09">
          <w:rPr>
            <w:noProof/>
          </w:rPr>
          <w:t>8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3B15"/>
    <w:rsid w:val="000343D9"/>
    <w:rsid w:val="00037E17"/>
    <w:rsid w:val="00047D09"/>
    <w:rsid w:val="000511B4"/>
    <w:rsid w:val="00052C79"/>
    <w:rsid w:val="0007504B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4B09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75387"/>
    <w:rsid w:val="00281816"/>
    <w:rsid w:val="002821CE"/>
    <w:rsid w:val="0029112D"/>
    <w:rsid w:val="002C5254"/>
    <w:rsid w:val="002D7A52"/>
    <w:rsid w:val="002E156C"/>
    <w:rsid w:val="002E15F2"/>
    <w:rsid w:val="002E2E27"/>
    <w:rsid w:val="002F0DDF"/>
    <w:rsid w:val="002F657B"/>
    <w:rsid w:val="00305907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63A49"/>
    <w:rsid w:val="00581213"/>
    <w:rsid w:val="005A76F8"/>
    <w:rsid w:val="005A77D2"/>
    <w:rsid w:val="005B2385"/>
    <w:rsid w:val="005B7757"/>
    <w:rsid w:val="005C0F38"/>
    <w:rsid w:val="005D0F50"/>
    <w:rsid w:val="006225E1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95398"/>
    <w:rsid w:val="006B05A4"/>
    <w:rsid w:val="006B2C75"/>
    <w:rsid w:val="006B53A4"/>
    <w:rsid w:val="006C5116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53671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2289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27E6"/>
    <w:rsid w:val="00E94201"/>
    <w:rsid w:val="00E9700B"/>
    <w:rsid w:val="00E97151"/>
    <w:rsid w:val="00EA422B"/>
    <w:rsid w:val="00EA615C"/>
    <w:rsid w:val="00EC17AE"/>
    <w:rsid w:val="00ED0942"/>
    <w:rsid w:val="00ED598D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5B67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D83436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F0D9-8189-4FB9-A60D-AA423E6E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1987</Words>
  <Characters>13869</Characters>
  <Application>Microsoft Office Word</Application>
  <DocSecurity>0</DocSecurity>
  <Lines>115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34</cp:revision>
  <cp:lastPrinted>2023-09-20T10:44:00Z</cp:lastPrinted>
  <dcterms:created xsi:type="dcterms:W3CDTF">2021-07-02T07:40:00Z</dcterms:created>
  <dcterms:modified xsi:type="dcterms:W3CDTF">2025-07-04T12:00:00Z</dcterms:modified>
</cp:coreProperties>
</file>