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305907" w:rsidRDefault="00DC584A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      </w:t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="00F55B6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 xml:space="preserve">Додаток </w:t>
      </w:r>
    </w:p>
    <w:p w:rsidR="00DC584A" w:rsidRPr="00305907" w:rsidRDefault="00DC584A" w:rsidP="00F55B67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Затверджено</w:t>
      </w:r>
    </w:p>
    <w:p w:rsidR="00DC584A" w:rsidRPr="00305907" w:rsidRDefault="00DC584A" w:rsidP="00F55B6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305907" w:rsidRDefault="00DC584A" w:rsidP="00F55B67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від _________ № _____</w:t>
      </w:r>
    </w:p>
    <w:p w:rsidR="00F1066F" w:rsidRPr="00305907" w:rsidRDefault="00F1066F" w:rsidP="00305907">
      <w:pPr>
        <w:jc w:val="both"/>
        <w:rPr>
          <w:rFonts w:ascii="Arial" w:hAnsi="Arial" w:cs="Arial"/>
          <w:sz w:val="26"/>
          <w:szCs w:val="26"/>
        </w:rPr>
      </w:pPr>
    </w:p>
    <w:p w:rsidR="00DC584A" w:rsidRPr="00305907" w:rsidRDefault="00DC584A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jc w:val="center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МІСЬКА ПРОГРАМА</w:t>
      </w:r>
    </w:p>
    <w:p w:rsidR="00F55B67" w:rsidRDefault="00563A49" w:rsidP="00F55B67">
      <w:pPr>
        <w:jc w:val="center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зубопротезування та лікувально-хірургічної підготовки до нього пільгових категорій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міської територіальної громади </w:t>
      </w:r>
    </w:p>
    <w:p w:rsidR="00563A49" w:rsidRPr="00305907" w:rsidRDefault="00563A49" w:rsidP="00F55B67">
      <w:pPr>
        <w:jc w:val="center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на 2023-2025 роки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1. Загальна частина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Міська програма зубопротезування та лікувально-хірургічної підготовки до нього пільгових категорій </w:t>
      </w:r>
      <w:r w:rsidR="00F55B67">
        <w:rPr>
          <w:rFonts w:ascii="Arial" w:hAnsi="Arial" w:cs="Arial"/>
          <w:sz w:val="26"/>
          <w:szCs w:val="26"/>
        </w:rPr>
        <w:t>жителів</w:t>
      </w:r>
      <w:r w:rsidR="00F55B67" w:rsidRPr="00305907">
        <w:rPr>
          <w:rFonts w:ascii="Arial" w:hAnsi="Arial" w:cs="Arial"/>
          <w:sz w:val="26"/>
          <w:szCs w:val="26"/>
        </w:rPr>
        <w:t xml:space="preserve"> </w:t>
      </w:r>
      <w:r w:rsidRPr="00305907">
        <w:rPr>
          <w:rFonts w:ascii="Arial" w:hAnsi="Arial" w:cs="Arial"/>
          <w:sz w:val="26"/>
          <w:szCs w:val="26"/>
        </w:rPr>
        <w:t>Львівської міської територіальної громади на 2023-2025 роки (</w:t>
      </w:r>
      <w:r w:rsidR="00F55B67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– Програма) розроблена на основі Конституції України, Законів України 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>Про місцеве самоврядування в Україні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>Основи законодавства України про охорону здоров’я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>Про статус ветеранів війни, гарантії їх соціального захисту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>Про основні засади соціального захисту ветеранів праці та інших громадян похилого віку в Україні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 xml:space="preserve">, 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 xml:space="preserve">Про основи соціальної захищеності </w:t>
      </w:r>
      <w:r w:rsidR="00F55B67">
        <w:rPr>
          <w:rFonts w:ascii="Arial" w:hAnsi="Arial" w:cs="Arial"/>
          <w:sz w:val="26"/>
          <w:szCs w:val="26"/>
        </w:rPr>
        <w:t xml:space="preserve">осіб з </w:t>
      </w:r>
      <w:r w:rsidRPr="00305907">
        <w:rPr>
          <w:rFonts w:ascii="Arial" w:hAnsi="Arial" w:cs="Arial"/>
          <w:sz w:val="26"/>
          <w:szCs w:val="26"/>
        </w:rPr>
        <w:t>інвалід</w:t>
      </w:r>
      <w:r w:rsidR="00F55B67">
        <w:rPr>
          <w:rFonts w:ascii="Arial" w:hAnsi="Arial" w:cs="Arial"/>
          <w:sz w:val="26"/>
          <w:szCs w:val="26"/>
        </w:rPr>
        <w:t>ністю</w:t>
      </w:r>
      <w:r w:rsidRPr="00305907">
        <w:rPr>
          <w:rFonts w:ascii="Arial" w:hAnsi="Arial" w:cs="Arial"/>
          <w:sz w:val="26"/>
          <w:szCs w:val="26"/>
        </w:rPr>
        <w:t xml:space="preserve"> в Україні</w:t>
      </w:r>
      <w:r w:rsidR="0007504B">
        <w:rPr>
          <w:rFonts w:ascii="Arial" w:hAnsi="Arial" w:cs="Arial"/>
          <w:sz w:val="26"/>
          <w:szCs w:val="26"/>
        </w:rPr>
        <w:t>"</w:t>
      </w:r>
      <w:r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2. Мета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2.1. Метою Програми є забезпечення пільгових категорій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міської територіальної громади (</w:t>
      </w:r>
      <w:r w:rsidR="00F55B67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– Львівської МТГ) зубним протезуванням для покращення жувальної і </w:t>
      </w:r>
      <w:proofErr w:type="spellStart"/>
      <w:r w:rsidRPr="00305907">
        <w:rPr>
          <w:rFonts w:ascii="Arial" w:hAnsi="Arial" w:cs="Arial"/>
          <w:sz w:val="26"/>
          <w:szCs w:val="26"/>
        </w:rPr>
        <w:t>мовної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функції щелепної системи, покращення загального стану здоров’я і життя. 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3. За</w:t>
      </w:r>
      <w:r w:rsidR="00F55B67">
        <w:rPr>
          <w:rFonts w:ascii="Arial" w:hAnsi="Arial" w:cs="Arial"/>
          <w:b/>
          <w:sz w:val="26"/>
          <w:szCs w:val="26"/>
        </w:rPr>
        <w:t>в</w:t>
      </w:r>
      <w:r w:rsidRPr="00F55B67">
        <w:rPr>
          <w:rFonts w:ascii="Arial" w:hAnsi="Arial" w:cs="Arial"/>
          <w:b/>
          <w:sz w:val="26"/>
          <w:szCs w:val="26"/>
        </w:rPr>
        <w:t>дання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3.1. Надання ортопедичної стоматологічної допомоги з поновленням жувальної спроможності із застосуванням зубних протезів та лікувально-хірургічної підготовки до неї пільговим категоріям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3.2. Створення та адміністрування платформи (порталу) обліку пільгових категорій </w:t>
      </w:r>
      <w:r w:rsidR="00F55B67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 для забезпечення їх зубним протезуванням за допомогою інструменту електронної черги.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F55B67" w:rsidRDefault="00563A49" w:rsidP="00F55B67">
      <w:pPr>
        <w:jc w:val="center"/>
        <w:rPr>
          <w:rFonts w:ascii="Arial" w:eastAsiaTheme="minorHAnsi" w:hAnsi="Arial" w:cs="Arial"/>
          <w:b/>
          <w:sz w:val="26"/>
          <w:szCs w:val="26"/>
        </w:rPr>
      </w:pPr>
      <w:r w:rsidRPr="00F55B67">
        <w:rPr>
          <w:rFonts w:ascii="Arial" w:hAnsi="Arial" w:cs="Arial"/>
          <w:b/>
          <w:sz w:val="26"/>
          <w:szCs w:val="26"/>
        </w:rPr>
        <w:t>4. Порядок надання ортопедичної стоматологічної допомоги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4.1. Право на зубопротезування та лікувально-хірургічн</w:t>
      </w:r>
      <w:r w:rsidR="00F55B67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F55B67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відповідно до цієї Програми мають особи, місце проживання яких зареєстроване на території Львівської МТГ.</w:t>
      </w:r>
    </w:p>
    <w:p w:rsidR="00563A49" w:rsidRPr="00305907" w:rsidRDefault="00563A49" w:rsidP="00F55B6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4.2. Облік пільгових категорій громадян Львівської МТГ здійснюється відповідно до Положення про порядок створення та функціонування загальної міської електронної реєстрації на зубопротезування та лікувально-хірургічн</w:t>
      </w:r>
      <w:r w:rsidR="0007504B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07504B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пільгових категорій </w:t>
      </w:r>
      <w:r w:rsidR="0007504B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 (електронної черги), як</w:t>
      </w:r>
      <w:r w:rsidR="00A62289">
        <w:rPr>
          <w:rFonts w:ascii="Arial" w:hAnsi="Arial" w:cs="Arial"/>
          <w:sz w:val="26"/>
          <w:szCs w:val="26"/>
        </w:rPr>
        <w:t>е</w:t>
      </w:r>
      <w:bookmarkStart w:id="0" w:name="_GoBack"/>
      <w:bookmarkEnd w:id="0"/>
      <w:r w:rsidRPr="00305907">
        <w:rPr>
          <w:rFonts w:ascii="Arial" w:hAnsi="Arial" w:cs="Arial"/>
          <w:sz w:val="26"/>
          <w:szCs w:val="26"/>
        </w:rPr>
        <w:t xml:space="preserve"> затверджується рішенням виконавчого комітету.</w:t>
      </w:r>
    </w:p>
    <w:p w:rsidR="00563A49" w:rsidRPr="00305907" w:rsidRDefault="00563A49" w:rsidP="000750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4.3. Послуги з пільгового зубопротезування та лікувально-хірургічної підготовки до нього надаються згідно з черговістю.</w:t>
      </w:r>
    </w:p>
    <w:p w:rsidR="00563A49" w:rsidRDefault="00563A49" w:rsidP="0007504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lastRenderedPageBreak/>
        <w:t>4.4. Категорії пільговиків, які мають право на пільгове зубопротезування та лікувально-хірургічн</w:t>
      </w:r>
      <w:r w:rsidR="0007504B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07504B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та обсяг відшкодування цих послуг за кошт</w:t>
      </w:r>
      <w:r w:rsidR="00ED598D">
        <w:rPr>
          <w:rFonts w:ascii="Arial" w:hAnsi="Arial" w:cs="Arial"/>
          <w:sz w:val="26"/>
          <w:szCs w:val="26"/>
        </w:rPr>
        <w:t>и</w:t>
      </w:r>
      <w:r w:rsidRPr="00305907">
        <w:rPr>
          <w:rFonts w:ascii="Arial" w:hAnsi="Arial" w:cs="Arial"/>
          <w:sz w:val="26"/>
          <w:szCs w:val="26"/>
        </w:rPr>
        <w:t xml:space="preserve"> бюджету Львівської МТГ:</w:t>
      </w:r>
    </w:p>
    <w:p w:rsidR="0007504B" w:rsidRPr="00305907" w:rsidRDefault="0007504B" w:rsidP="0007504B">
      <w:pPr>
        <w:ind w:firstLine="708"/>
        <w:jc w:val="both"/>
        <w:rPr>
          <w:rFonts w:ascii="Arial" w:hAnsi="Arial" w:cs="Arial"/>
          <w:sz w:val="26"/>
          <w:szCs w:val="26"/>
        </w:rPr>
      </w:pPr>
    </w:p>
    <w:tbl>
      <w:tblPr>
        <w:tblW w:w="96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9"/>
        <w:gridCol w:w="2410"/>
        <w:gridCol w:w="2436"/>
        <w:gridCol w:w="2133"/>
        <w:gridCol w:w="2090"/>
      </w:tblGrid>
      <w:tr w:rsidR="00563A49" w:rsidRPr="00305907" w:rsidTr="0007504B">
        <w:trPr>
          <w:jc w:val="center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563A49" w:rsidRPr="00305907" w:rsidRDefault="0007504B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Категорії</w:t>
            </w:r>
          </w:p>
        </w:tc>
        <w:tc>
          <w:tcPr>
            <w:tcW w:w="2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Підстава</w:t>
            </w:r>
          </w:p>
        </w:tc>
        <w:tc>
          <w:tcPr>
            <w:tcW w:w="2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Черговість за умови реєстрації в електронній черзі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Обсяг відшкодування</w:t>
            </w:r>
          </w:p>
        </w:tc>
      </w:tr>
      <w:tr w:rsidR="00563A49" w:rsidRPr="00305907" w:rsidTr="0007504B">
        <w:trPr>
          <w:jc w:val="center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1</w:t>
            </w:r>
            <w:r w:rsidR="0007504B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Учасники бойових дій</w:t>
            </w:r>
          </w:p>
        </w:tc>
        <w:tc>
          <w:tcPr>
            <w:tcW w:w="2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A49" w:rsidRPr="00305907" w:rsidRDefault="00A6228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8" w:history="1">
              <w:r w:rsidR="00563A49" w:rsidRPr="0007504B">
                <w:rPr>
                  <w:rStyle w:val="af0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 xml:space="preserve">Закон України </w:t>
              </w:r>
            </w:hyperlink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>Про статус ветеранів війни, гарантії їх соціального захисту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 xml:space="preserve"> (ст. 12)</w:t>
            </w:r>
          </w:p>
        </w:tc>
        <w:tc>
          <w:tcPr>
            <w:tcW w:w="2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першочергово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563A49" w:rsidRPr="00305907" w:rsidTr="0007504B">
        <w:trPr>
          <w:jc w:val="center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2</w:t>
            </w:r>
            <w:r w:rsidR="0007504B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Особи з інвалідністю внаслідок війни та прирівняні до них особи</w:t>
            </w:r>
          </w:p>
        </w:tc>
        <w:tc>
          <w:tcPr>
            <w:tcW w:w="2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A49" w:rsidRPr="00305907" w:rsidRDefault="00A6228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9" w:history="1">
              <w:r w:rsidR="0007504B" w:rsidRPr="0007504B">
                <w:rPr>
                  <w:rStyle w:val="af0"/>
                  <w:rFonts w:ascii="Arial" w:hAnsi="Arial" w:cs="Arial"/>
                  <w:color w:val="auto"/>
                  <w:sz w:val="26"/>
                  <w:szCs w:val="26"/>
                  <w:u w:val="none"/>
                </w:rPr>
                <w:t xml:space="preserve">Закон України </w:t>
              </w:r>
            </w:hyperlink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>Про статус ветеранів війни, гарантії їх соціального захисту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 xml:space="preserve"> (ст. 13)</w:t>
            </w:r>
          </w:p>
        </w:tc>
        <w:tc>
          <w:tcPr>
            <w:tcW w:w="2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позачергово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563A49" w:rsidRPr="00305907" w:rsidTr="0007504B">
        <w:trPr>
          <w:jc w:val="center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Члени сім</w:t>
            </w:r>
            <w:r w:rsidR="0007504B">
              <w:rPr>
                <w:rFonts w:ascii="Arial" w:hAnsi="Arial" w:cs="Arial"/>
                <w:sz w:val="26"/>
                <w:szCs w:val="26"/>
              </w:rPr>
              <w:t>ей</w:t>
            </w:r>
            <w:r w:rsidRPr="00305907">
              <w:rPr>
                <w:rFonts w:ascii="Arial" w:hAnsi="Arial" w:cs="Arial"/>
                <w:sz w:val="26"/>
                <w:szCs w:val="26"/>
              </w:rPr>
              <w:t xml:space="preserve"> загиблих (померлих) ветеранів війни, Захисників і Захисниць України</w:t>
            </w:r>
          </w:p>
        </w:tc>
        <w:tc>
          <w:tcPr>
            <w:tcW w:w="2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3A49" w:rsidRPr="00305907" w:rsidRDefault="00563A49" w:rsidP="00ED59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 xml:space="preserve">Закон України 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Pr="00305907">
              <w:rPr>
                <w:rFonts w:ascii="Arial" w:hAnsi="Arial" w:cs="Arial"/>
                <w:sz w:val="26"/>
                <w:szCs w:val="26"/>
              </w:rPr>
              <w:t>Про статус ветеранів війни, гарантії їх соціального захисту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Pr="00305907">
              <w:rPr>
                <w:rFonts w:ascii="Arial" w:hAnsi="Arial" w:cs="Arial"/>
                <w:sz w:val="26"/>
                <w:szCs w:val="26"/>
              </w:rPr>
              <w:t xml:space="preserve"> (ст. 12)</w:t>
            </w:r>
          </w:p>
        </w:tc>
        <w:tc>
          <w:tcPr>
            <w:tcW w:w="2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07504B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у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 xml:space="preserve"> порядку електронної черги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563A49" w:rsidRPr="00305907" w:rsidTr="0007504B">
        <w:trPr>
          <w:jc w:val="center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Особи з інвалідністю загального захворювання І та ІІ групи (на підставі індивідуальних програм реабілітації)</w:t>
            </w:r>
          </w:p>
        </w:tc>
        <w:tc>
          <w:tcPr>
            <w:tcW w:w="2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156C" w:rsidRDefault="00563A49" w:rsidP="002E15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 xml:space="preserve">Закон України 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Pr="00305907">
              <w:rPr>
                <w:rFonts w:ascii="Arial" w:hAnsi="Arial" w:cs="Arial"/>
                <w:sz w:val="26"/>
                <w:szCs w:val="26"/>
              </w:rPr>
              <w:t xml:space="preserve">Про основи соціальної захищеності </w:t>
            </w:r>
            <w:r w:rsidR="002E156C">
              <w:rPr>
                <w:rFonts w:ascii="Arial" w:hAnsi="Arial" w:cs="Arial"/>
                <w:sz w:val="26"/>
                <w:szCs w:val="26"/>
              </w:rPr>
              <w:t xml:space="preserve">осіб з </w:t>
            </w:r>
            <w:r w:rsidRPr="00305907">
              <w:rPr>
                <w:rFonts w:ascii="Arial" w:hAnsi="Arial" w:cs="Arial"/>
                <w:sz w:val="26"/>
                <w:szCs w:val="26"/>
              </w:rPr>
              <w:t>інвалід</w:t>
            </w:r>
            <w:r w:rsidR="002E156C">
              <w:rPr>
                <w:rFonts w:ascii="Arial" w:hAnsi="Arial" w:cs="Arial"/>
                <w:sz w:val="26"/>
                <w:szCs w:val="26"/>
              </w:rPr>
              <w:t xml:space="preserve">ністю </w:t>
            </w:r>
            <w:r w:rsidRPr="00305907">
              <w:rPr>
                <w:rFonts w:ascii="Arial" w:hAnsi="Arial" w:cs="Arial"/>
                <w:sz w:val="26"/>
                <w:szCs w:val="26"/>
              </w:rPr>
              <w:t>в Україні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Pr="0030590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563A49" w:rsidRPr="00305907" w:rsidRDefault="00563A49" w:rsidP="002E156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 xml:space="preserve">(ст. </w:t>
            </w:r>
            <w:r w:rsidR="002E156C">
              <w:rPr>
                <w:rFonts w:ascii="Arial" w:hAnsi="Arial" w:cs="Arial"/>
                <w:sz w:val="26"/>
                <w:szCs w:val="26"/>
              </w:rPr>
              <w:t xml:space="preserve">ст. </w:t>
            </w:r>
            <w:r w:rsidRPr="00305907">
              <w:rPr>
                <w:rFonts w:ascii="Arial" w:hAnsi="Arial" w:cs="Arial"/>
                <w:sz w:val="26"/>
                <w:szCs w:val="26"/>
              </w:rPr>
              <w:t>37, 38)</w:t>
            </w:r>
          </w:p>
        </w:tc>
        <w:tc>
          <w:tcPr>
            <w:tcW w:w="2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позачергово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у повному обсязі</w:t>
            </w:r>
          </w:p>
        </w:tc>
      </w:tr>
      <w:tr w:rsidR="00563A49" w:rsidRPr="00305907" w:rsidTr="0007504B">
        <w:trPr>
          <w:jc w:val="center"/>
        </w:trPr>
        <w:tc>
          <w:tcPr>
            <w:tcW w:w="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5</w:t>
            </w:r>
            <w:r w:rsidR="0007504B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Пенсіонери за віком, ветерани праці</w:t>
            </w:r>
          </w:p>
        </w:tc>
        <w:tc>
          <w:tcPr>
            <w:tcW w:w="2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156C" w:rsidRDefault="00A6228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hyperlink r:id="rId10" w:history="1">
              <w:hyperlink r:id="rId11" w:history="1">
                <w:r w:rsidR="0007504B" w:rsidRPr="0007504B">
                  <w:rPr>
                    <w:rStyle w:val="af0"/>
                    <w:rFonts w:ascii="Arial" w:hAnsi="Arial" w:cs="Arial"/>
                    <w:color w:val="auto"/>
                    <w:sz w:val="26"/>
                    <w:szCs w:val="26"/>
                    <w:u w:val="none"/>
                  </w:rPr>
                  <w:t xml:space="preserve">Закон України </w:t>
                </w:r>
              </w:hyperlink>
              <w:r w:rsidR="00563A49" w:rsidRPr="00305907">
                <w:rPr>
                  <w:rStyle w:val="af0"/>
                  <w:rFonts w:ascii="Arial" w:hAnsi="Arial" w:cs="Arial"/>
                  <w:sz w:val="26"/>
                  <w:szCs w:val="26"/>
                </w:rPr>
                <w:t xml:space="preserve"> </w:t>
              </w:r>
            </w:hyperlink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>Про основні засади соціального захисту ветеранів праці та інших громадян похилого віку в Україні</w:t>
            </w:r>
            <w:r w:rsidR="0007504B">
              <w:rPr>
                <w:rFonts w:ascii="Arial" w:hAnsi="Arial" w:cs="Arial"/>
                <w:sz w:val="26"/>
                <w:szCs w:val="26"/>
              </w:rPr>
              <w:t>"</w:t>
            </w:r>
            <w:r w:rsidR="00563A49" w:rsidRPr="00305907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(</w:t>
            </w:r>
            <w:r w:rsidR="002E156C">
              <w:rPr>
                <w:rFonts w:ascii="Arial" w:hAnsi="Arial" w:cs="Arial"/>
                <w:sz w:val="26"/>
                <w:szCs w:val="26"/>
              </w:rPr>
              <w:t xml:space="preserve">ст. </w:t>
            </w:r>
            <w:r w:rsidRPr="00305907">
              <w:rPr>
                <w:rFonts w:ascii="Arial" w:hAnsi="Arial" w:cs="Arial"/>
                <w:sz w:val="26"/>
                <w:szCs w:val="26"/>
              </w:rPr>
              <w:t>ст. 7, 34)</w:t>
            </w:r>
          </w:p>
        </w:tc>
        <w:tc>
          <w:tcPr>
            <w:tcW w:w="21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в порядку електронної черги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563A49" w:rsidRPr="00305907" w:rsidRDefault="00563A49" w:rsidP="0007504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5907">
              <w:rPr>
                <w:rFonts w:ascii="Arial" w:hAnsi="Arial" w:cs="Arial"/>
                <w:sz w:val="26"/>
                <w:szCs w:val="26"/>
              </w:rPr>
              <w:t>50 відсотків від вартості роботи</w:t>
            </w:r>
          </w:p>
        </w:tc>
      </w:tr>
    </w:tbl>
    <w:p w:rsidR="002E156C" w:rsidRDefault="002E156C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4.5. Обсяг безкоштовного зубного протезування пільговим категоріям </w:t>
      </w:r>
      <w:r w:rsidR="002E156C">
        <w:rPr>
          <w:rFonts w:ascii="Arial" w:hAnsi="Arial" w:cs="Arial"/>
          <w:sz w:val="26"/>
          <w:szCs w:val="26"/>
        </w:rPr>
        <w:t>громадян</w:t>
      </w:r>
      <w:r w:rsidRPr="00305907">
        <w:rPr>
          <w:rFonts w:ascii="Arial" w:hAnsi="Arial" w:cs="Arial"/>
          <w:sz w:val="26"/>
          <w:szCs w:val="26"/>
        </w:rPr>
        <w:t xml:space="preserve"> включає: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4.5.1. Виготовлення незнімних конструкцій протезів із сталі та пластмаси методом штамповки та пайки.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lastRenderedPageBreak/>
        <w:t xml:space="preserve">4.5.2. Виготовлення знімних протезів із пластмаси (за винятком протезування із дорогоцінних металів, кераміки, металокераміки, нітрит-титанового покриття, суцільно-литого протезування, у тому числі </w:t>
      </w:r>
      <w:proofErr w:type="spellStart"/>
      <w:r w:rsidRPr="00305907">
        <w:rPr>
          <w:rFonts w:ascii="Arial" w:hAnsi="Arial" w:cs="Arial"/>
          <w:sz w:val="26"/>
          <w:szCs w:val="26"/>
        </w:rPr>
        <w:t>бюгельного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протезування, імплантатів).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4.6. Проведення протезування та підготовка до нього учасникам бойових дій, які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2E156C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здійснюється з використанням </w:t>
      </w:r>
      <w:proofErr w:type="spellStart"/>
      <w:r w:rsidRPr="00305907">
        <w:rPr>
          <w:rFonts w:ascii="Arial" w:hAnsi="Arial" w:cs="Arial"/>
          <w:sz w:val="26"/>
          <w:szCs w:val="26"/>
        </w:rPr>
        <w:t>дороговартісних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імпортних матеріалів для цієї категорії пільговиків. Обсяг зубопротезних робіт </w:t>
      </w:r>
      <w:r w:rsidR="002E156C">
        <w:rPr>
          <w:rFonts w:ascii="Arial" w:hAnsi="Arial" w:cs="Arial"/>
          <w:sz w:val="26"/>
          <w:szCs w:val="26"/>
        </w:rPr>
        <w:t>містить</w:t>
      </w:r>
      <w:r w:rsidRPr="00305907">
        <w:rPr>
          <w:rFonts w:ascii="Arial" w:hAnsi="Arial" w:cs="Arial"/>
          <w:sz w:val="26"/>
          <w:szCs w:val="26"/>
        </w:rPr>
        <w:t>: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4.6.1. Суцільнолиті металеві коронки.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4.6.2. Металокерамічні одиночні коронки, включ</w:t>
      </w:r>
      <w:r w:rsidR="002E156C">
        <w:rPr>
          <w:rFonts w:ascii="Arial" w:hAnsi="Arial" w:cs="Arial"/>
          <w:sz w:val="26"/>
          <w:szCs w:val="26"/>
        </w:rPr>
        <w:t>но з</w:t>
      </w:r>
      <w:r w:rsidRPr="00305907">
        <w:rPr>
          <w:rFonts w:ascii="Arial" w:hAnsi="Arial" w:cs="Arial"/>
          <w:sz w:val="26"/>
          <w:szCs w:val="26"/>
        </w:rPr>
        <w:t xml:space="preserve"> металокерамічн</w:t>
      </w:r>
      <w:r w:rsidR="002E156C">
        <w:rPr>
          <w:rFonts w:ascii="Arial" w:hAnsi="Arial" w:cs="Arial"/>
          <w:sz w:val="26"/>
          <w:szCs w:val="26"/>
        </w:rPr>
        <w:t>ими</w:t>
      </w:r>
      <w:r w:rsidRPr="00305907">
        <w:rPr>
          <w:rFonts w:ascii="Arial" w:hAnsi="Arial" w:cs="Arial"/>
          <w:sz w:val="26"/>
          <w:szCs w:val="26"/>
        </w:rPr>
        <w:t xml:space="preserve"> коронк</w:t>
      </w:r>
      <w:r w:rsidR="002E156C">
        <w:rPr>
          <w:rFonts w:ascii="Arial" w:hAnsi="Arial" w:cs="Arial"/>
          <w:sz w:val="26"/>
          <w:szCs w:val="26"/>
        </w:rPr>
        <w:t>ами</w:t>
      </w:r>
      <w:r w:rsidRPr="00305907">
        <w:rPr>
          <w:rFonts w:ascii="Arial" w:hAnsi="Arial" w:cs="Arial"/>
          <w:sz w:val="26"/>
          <w:szCs w:val="26"/>
        </w:rPr>
        <w:t xml:space="preserve"> на </w:t>
      </w:r>
      <w:proofErr w:type="spellStart"/>
      <w:r w:rsidRPr="00305907">
        <w:rPr>
          <w:rFonts w:ascii="Arial" w:hAnsi="Arial" w:cs="Arial"/>
          <w:sz w:val="26"/>
          <w:szCs w:val="26"/>
        </w:rPr>
        <w:t>куксових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суцільнолитих вкладках.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4.6.3. </w:t>
      </w:r>
      <w:proofErr w:type="spellStart"/>
      <w:r w:rsidRPr="00305907">
        <w:rPr>
          <w:rFonts w:ascii="Arial" w:hAnsi="Arial" w:cs="Arial"/>
          <w:sz w:val="26"/>
          <w:szCs w:val="26"/>
        </w:rPr>
        <w:t>Куксові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суцільнолиті вкладки.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4.6.4. Металокерамічні </w:t>
      </w:r>
      <w:proofErr w:type="spellStart"/>
      <w:r w:rsidRPr="00305907">
        <w:rPr>
          <w:rFonts w:ascii="Arial" w:hAnsi="Arial" w:cs="Arial"/>
          <w:sz w:val="26"/>
          <w:szCs w:val="26"/>
        </w:rPr>
        <w:t>мостовидні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протези.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4.7. Виготовлення зубних протезів із золота та інших дорогоцінних матеріалів, кераміки, метало-пластмасових протезів, з нітрит-титановим покриттям, знімних еластичних протезів та імплантатів, </w:t>
      </w:r>
      <w:proofErr w:type="spellStart"/>
      <w:r w:rsidRPr="00305907">
        <w:rPr>
          <w:rFonts w:ascii="Arial" w:hAnsi="Arial" w:cs="Arial"/>
          <w:sz w:val="26"/>
          <w:szCs w:val="26"/>
        </w:rPr>
        <w:t>бюгельного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протезування може здійснюватися за бажанням пацієнта за власн</w:t>
      </w:r>
      <w:r w:rsidR="00ED598D">
        <w:rPr>
          <w:rFonts w:ascii="Arial" w:hAnsi="Arial" w:cs="Arial"/>
          <w:sz w:val="26"/>
          <w:szCs w:val="26"/>
        </w:rPr>
        <w:t>і</w:t>
      </w:r>
      <w:r w:rsidRPr="00305907">
        <w:rPr>
          <w:rFonts w:ascii="Arial" w:hAnsi="Arial" w:cs="Arial"/>
          <w:sz w:val="26"/>
          <w:szCs w:val="26"/>
        </w:rPr>
        <w:t xml:space="preserve"> кошт</w:t>
      </w:r>
      <w:r w:rsidR="00ED598D">
        <w:rPr>
          <w:rFonts w:ascii="Arial" w:hAnsi="Arial" w:cs="Arial"/>
          <w:sz w:val="26"/>
          <w:szCs w:val="26"/>
        </w:rPr>
        <w:t>и</w:t>
      </w:r>
      <w:r w:rsidRPr="00305907">
        <w:rPr>
          <w:rFonts w:ascii="Arial" w:hAnsi="Arial" w:cs="Arial"/>
          <w:sz w:val="26"/>
          <w:szCs w:val="26"/>
        </w:rPr>
        <w:t xml:space="preserve"> пільговика, про що зазначається </w:t>
      </w:r>
      <w:r w:rsidR="002E156C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плані лікування.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4.8. Для визначення права пільгового зубопротезування та лікувально-хірургічної підготовки до нього та для </w:t>
      </w:r>
      <w:r w:rsidR="006C5116">
        <w:rPr>
          <w:rFonts w:ascii="Arial" w:hAnsi="Arial" w:cs="Arial"/>
          <w:sz w:val="26"/>
          <w:szCs w:val="26"/>
        </w:rPr>
        <w:t>зарахування</w:t>
      </w:r>
      <w:r w:rsidRPr="00305907">
        <w:rPr>
          <w:rFonts w:ascii="Arial" w:hAnsi="Arial" w:cs="Arial"/>
          <w:sz w:val="26"/>
          <w:szCs w:val="26"/>
        </w:rPr>
        <w:t xml:space="preserve"> на облік пільгові категорії громадян подають такі документи:</w:t>
      </w:r>
    </w:p>
    <w:p w:rsidR="00563A49" w:rsidRPr="00305907" w:rsidRDefault="00563A49" w:rsidP="002E15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4.8.1. Заява про взяття на облік на пільгове зубопротезування та лікувально-хірургічної підготовки до нього.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4.8.2. Згода на обробку персональних даних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4.8.3. Копія посвідчення пільговика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4.8.4. Копія паспорта (ст</w:t>
      </w:r>
      <w:r w:rsidR="006C5116">
        <w:rPr>
          <w:rFonts w:ascii="Arial" w:hAnsi="Arial" w:cs="Arial"/>
          <w:sz w:val="26"/>
          <w:szCs w:val="26"/>
        </w:rPr>
        <w:t>орінки</w:t>
      </w:r>
      <w:r w:rsidRPr="00305907">
        <w:rPr>
          <w:rFonts w:ascii="Arial" w:hAnsi="Arial" w:cs="Arial"/>
          <w:sz w:val="26"/>
          <w:szCs w:val="26"/>
        </w:rPr>
        <w:t xml:space="preserve"> 1,</w:t>
      </w:r>
      <w:r w:rsidR="006C5116">
        <w:rPr>
          <w:rFonts w:ascii="Arial" w:hAnsi="Arial" w:cs="Arial"/>
          <w:sz w:val="26"/>
          <w:szCs w:val="26"/>
        </w:rPr>
        <w:t xml:space="preserve"> </w:t>
      </w:r>
      <w:r w:rsidRPr="00305907">
        <w:rPr>
          <w:rFonts w:ascii="Arial" w:hAnsi="Arial" w:cs="Arial"/>
          <w:sz w:val="26"/>
          <w:szCs w:val="26"/>
        </w:rPr>
        <w:t>2</w:t>
      </w:r>
      <w:r w:rsidR="006C5116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а також сторінки з відміткою про реєстрацію місця проживання) або копія ID паспорта громадянина України та копія </w:t>
      </w:r>
      <w:r w:rsidR="006C5116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>итягу з Єдиного державного демографічного реєстру, що підтверджує проживання на території Львівської М</w:t>
      </w:r>
      <w:r w:rsidR="00ED598D">
        <w:rPr>
          <w:rFonts w:ascii="Arial" w:hAnsi="Arial" w:cs="Arial"/>
          <w:sz w:val="26"/>
          <w:szCs w:val="26"/>
        </w:rPr>
        <w:t>ТГ</w:t>
      </w:r>
      <w:r w:rsidRPr="00305907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4.8.5. Копія індивідуальної програми реабілітації із зазначенням потреби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зубопротезуванні (лише для осіб з інвалідністю загального захворювання І та ІІ групи).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4.8.6. Копія плану лікування та протезування.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 Підстави для відмови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зарахуванні на облік та/або в отриманні послуг із пільгового зубопротезування та лікувально-хірургічної підготовки до нього відповідно до заходів цієї Програми: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4.9.1. Відсутність медичних показань до зубопротезування.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4.9.2. Відсутність повного комплекту документів, визначених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п. 4.8 цієї Програми</w:t>
      </w:r>
      <w:r w:rsidR="006C5116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та/або виявлена недостовірність поданих документів.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4.9.3. Попереднє зарахування на облік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eastAsiaTheme="minorHAnsi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4.9.4. Відсутність бюджетних призначень, передбачених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бюджеті Львівської МТГ у поточному році.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4.9.5. Перевищення потреби у коштах із </w:t>
      </w:r>
      <w:r w:rsidR="006C5116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>рахуванням кількості пільговиків до видатків, передбачених у бюджеті Львівської МТГ на відповідний рік на виконання заходів цієї Програми.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4.10. Підстави для зняття з обліку пільгових категорій громадян, які мають право </w:t>
      </w:r>
      <w:r w:rsidR="006C5116">
        <w:rPr>
          <w:rFonts w:ascii="Arial" w:hAnsi="Arial" w:cs="Arial"/>
          <w:sz w:val="26"/>
          <w:szCs w:val="26"/>
        </w:rPr>
        <w:t xml:space="preserve">на </w:t>
      </w:r>
      <w:r w:rsidRPr="00305907">
        <w:rPr>
          <w:rFonts w:ascii="Arial" w:hAnsi="Arial" w:cs="Arial"/>
          <w:sz w:val="26"/>
          <w:szCs w:val="26"/>
        </w:rPr>
        <w:t>пільгове зубопротезування та лікувально-хірургічну підготовку до нього відповідно до заходів цієї Програми: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lastRenderedPageBreak/>
        <w:t xml:space="preserve">4.10.1. Проведення протезування з поновленням жувальної спроможності із застосуванням зубних протезів та лікувально-хірургічної підготовки до нього </w:t>
      </w:r>
      <w:r w:rsidR="006C5116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повному обсязі відповідно до складеного плану лікування та протезування.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4.10.2. Заява пільговика про відмову у наданні послуг.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4.10.3. Завершення терміну, який дає право </w:t>
      </w:r>
      <w:r w:rsidR="006C5116">
        <w:rPr>
          <w:rFonts w:ascii="Arial" w:hAnsi="Arial" w:cs="Arial"/>
          <w:sz w:val="26"/>
          <w:szCs w:val="26"/>
        </w:rPr>
        <w:t>зарахування</w:t>
      </w:r>
      <w:r w:rsidRPr="00305907">
        <w:rPr>
          <w:rFonts w:ascii="Arial" w:hAnsi="Arial" w:cs="Arial"/>
          <w:sz w:val="26"/>
          <w:szCs w:val="26"/>
        </w:rPr>
        <w:t xml:space="preserve"> на облік для певної категорії пільговиків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4.10.4. Дворазова відмова пільговика від запропонованого місяця лікування</w:t>
      </w:r>
      <w:r w:rsidR="006C511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4.10.5. Неявка пільговика за запрошенням без попередження (</w:t>
      </w:r>
      <w:r w:rsidR="006C5116">
        <w:rPr>
          <w:rFonts w:ascii="Arial" w:hAnsi="Arial" w:cs="Arial"/>
          <w:sz w:val="26"/>
          <w:szCs w:val="26"/>
        </w:rPr>
        <w:t>протягом</w:t>
      </w:r>
      <w:r w:rsidRPr="00305907">
        <w:rPr>
          <w:rFonts w:ascii="Arial" w:hAnsi="Arial" w:cs="Arial"/>
          <w:sz w:val="26"/>
          <w:szCs w:val="26"/>
        </w:rPr>
        <w:t xml:space="preserve"> місяця з дня повідомлення)/заяви про відстрочення терміну надання послуг.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4.10.6. Некоректні контактні дані пільговика, за якими неможливо здійснити зворотній зв'язок.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4.10.7. Зміна місця реєстрації проживання, внаслідок чого пільговик перестав бути </w:t>
      </w:r>
      <w:r w:rsidR="006C5116">
        <w:rPr>
          <w:rFonts w:ascii="Arial" w:hAnsi="Arial" w:cs="Arial"/>
          <w:sz w:val="26"/>
          <w:szCs w:val="26"/>
        </w:rPr>
        <w:t>жителем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4.10.8. Смерть пільговика.</w:t>
      </w:r>
    </w:p>
    <w:p w:rsidR="00563A49" w:rsidRPr="00305907" w:rsidRDefault="00ED598D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4.11. Для отримання послуг </w:t>
      </w:r>
      <w:r w:rsidR="00563A49" w:rsidRPr="00305907">
        <w:rPr>
          <w:rFonts w:ascii="Arial" w:hAnsi="Arial" w:cs="Arial"/>
          <w:sz w:val="26"/>
          <w:szCs w:val="26"/>
        </w:rPr>
        <w:t xml:space="preserve">з пільгового зубопротезування та лікувально-хірургічної підготовки до нього пільговик звертається до лікаря </w:t>
      </w:r>
      <w:r>
        <w:rPr>
          <w:rFonts w:ascii="Arial" w:hAnsi="Arial" w:cs="Arial"/>
          <w:sz w:val="26"/>
          <w:szCs w:val="26"/>
        </w:rPr>
        <w:t>–</w:t>
      </w:r>
      <w:r w:rsidR="00563A49" w:rsidRPr="00305907">
        <w:rPr>
          <w:rFonts w:ascii="Arial" w:hAnsi="Arial" w:cs="Arial"/>
          <w:sz w:val="26"/>
          <w:szCs w:val="26"/>
        </w:rPr>
        <w:t xml:space="preserve"> стоматолога</w:t>
      </w:r>
      <w:r>
        <w:rPr>
          <w:rFonts w:ascii="Arial" w:hAnsi="Arial" w:cs="Arial"/>
          <w:sz w:val="26"/>
          <w:szCs w:val="26"/>
        </w:rPr>
        <w:t>-</w:t>
      </w:r>
      <w:r w:rsidR="00563A49" w:rsidRPr="00305907">
        <w:rPr>
          <w:rFonts w:ascii="Arial" w:hAnsi="Arial" w:cs="Arial"/>
          <w:sz w:val="26"/>
          <w:szCs w:val="26"/>
        </w:rPr>
        <w:t xml:space="preserve">ортопеда, який визначає об'єм послуг та складає план лікування </w:t>
      </w:r>
      <w:r>
        <w:rPr>
          <w:rFonts w:ascii="Arial" w:hAnsi="Arial" w:cs="Arial"/>
          <w:sz w:val="26"/>
          <w:szCs w:val="26"/>
        </w:rPr>
        <w:t>і</w:t>
      </w:r>
      <w:r w:rsidR="00563A49" w:rsidRPr="00305907">
        <w:rPr>
          <w:rFonts w:ascii="Arial" w:hAnsi="Arial" w:cs="Arial"/>
          <w:sz w:val="26"/>
          <w:szCs w:val="26"/>
        </w:rPr>
        <w:t xml:space="preserve"> протезування, який погоджу</w:t>
      </w:r>
      <w:r>
        <w:rPr>
          <w:rFonts w:ascii="Arial" w:hAnsi="Arial" w:cs="Arial"/>
          <w:sz w:val="26"/>
          <w:szCs w:val="26"/>
        </w:rPr>
        <w:t>ють</w:t>
      </w:r>
      <w:r w:rsidR="00563A49" w:rsidRPr="00305907">
        <w:rPr>
          <w:rFonts w:ascii="Arial" w:hAnsi="Arial" w:cs="Arial"/>
          <w:sz w:val="26"/>
          <w:szCs w:val="26"/>
        </w:rPr>
        <w:t xml:space="preserve"> пільговик або його опікун та керівник структурного підрозділу закладу охорони здоров’я </w:t>
      </w:r>
      <w:r>
        <w:rPr>
          <w:rFonts w:ascii="Arial" w:hAnsi="Arial" w:cs="Arial"/>
          <w:sz w:val="26"/>
          <w:szCs w:val="26"/>
        </w:rPr>
        <w:t>–</w:t>
      </w:r>
      <w:r w:rsidR="00563A49" w:rsidRPr="00305907">
        <w:rPr>
          <w:rFonts w:ascii="Arial" w:hAnsi="Arial" w:cs="Arial"/>
          <w:sz w:val="26"/>
          <w:szCs w:val="26"/>
        </w:rPr>
        <w:t xml:space="preserve"> надавача послуги. Первинний огляд пільговиків для визначення об'єму послуг та складання плану лікування та протезування коштами Програми не відшкодовується.</w:t>
      </w:r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4.12. Факт проведення протезування з поновленням жувальної спроможності із застосуванням зубних протезів та лікувально-хірургічної підготовки до нього відповідно до складеного плану лікування та протезування засвідчується пільговиком особистим підписом у цьому плані лікування.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6C5116" w:rsidRDefault="00563A49" w:rsidP="006C5116">
      <w:pPr>
        <w:jc w:val="center"/>
        <w:rPr>
          <w:rFonts w:ascii="Arial" w:eastAsiaTheme="minorHAnsi" w:hAnsi="Arial" w:cs="Arial"/>
          <w:b/>
          <w:sz w:val="26"/>
          <w:szCs w:val="26"/>
        </w:rPr>
      </w:pPr>
      <w:r w:rsidRPr="006C5116">
        <w:rPr>
          <w:rFonts w:ascii="Arial" w:hAnsi="Arial" w:cs="Arial"/>
          <w:b/>
          <w:sz w:val="26"/>
          <w:szCs w:val="26"/>
        </w:rPr>
        <w:t>5. Фінансування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bookmarkStart w:id="1" w:name="_Hlk131547961"/>
    </w:p>
    <w:p w:rsidR="00563A49" w:rsidRPr="00305907" w:rsidRDefault="00563A49" w:rsidP="006C511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5.1. Фінансове забезпечення Програми здійснюється за кошт</w:t>
      </w:r>
      <w:r w:rsidR="006225E1">
        <w:rPr>
          <w:rFonts w:ascii="Arial" w:hAnsi="Arial" w:cs="Arial"/>
          <w:sz w:val="26"/>
          <w:szCs w:val="26"/>
        </w:rPr>
        <w:t>и</w:t>
      </w:r>
      <w:r w:rsidRPr="00305907">
        <w:rPr>
          <w:rFonts w:ascii="Arial" w:hAnsi="Arial" w:cs="Arial"/>
          <w:sz w:val="26"/>
          <w:szCs w:val="26"/>
        </w:rPr>
        <w:t>, передбачен</w:t>
      </w:r>
      <w:r w:rsidR="006225E1">
        <w:rPr>
          <w:rFonts w:ascii="Arial" w:hAnsi="Arial" w:cs="Arial"/>
          <w:sz w:val="26"/>
          <w:szCs w:val="26"/>
        </w:rPr>
        <w:t>і</w:t>
      </w:r>
      <w:r w:rsidRPr="00305907">
        <w:rPr>
          <w:rFonts w:ascii="Arial" w:hAnsi="Arial" w:cs="Arial"/>
          <w:sz w:val="26"/>
          <w:szCs w:val="26"/>
        </w:rPr>
        <w:t xml:space="preserve"> у бюджеті Львівської МТГ на відповідний рік.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5.2. Не допускається скерування бюджетних коштів на здійснення завдань, не передбачених цією Програмою.</w:t>
      </w:r>
    </w:p>
    <w:bookmarkEnd w:id="1"/>
    <w:p w:rsidR="00563A49" w:rsidRPr="00305907" w:rsidRDefault="00563A49" w:rsidP="00305907">
      <w:pPr>
        <w:jc w:val="both"/>
        <w:rPr>
          <w:rFonts w:ascii="Arial" w:eastAsiaTheme="minorHAnsi" w:hAnsi="Arial" w:cs="Arial"/>
          <w:sz w:val="26"/>
          <w:szCs w:val="26"/>
        </w:rPr>
      </w:pPr>
    </w:p>
    <w:p w:rsidR="00563A49" w:rsidRPr="00695398" w:rsidRDefault="00563A49" w:rsidP="00695398">
      <w:pPr>
        <w:jc w:val="center"/>
        <w:rPr>
          <w:rFonts w:ascii="Arial" w:hAnsi="Arial" w:cs="Arial"/>
          <w:b/>
          <w:sz w:val="26"/>
          <w:szCs w:val="26"/>
        </w:rPr>
      </w:pPr>
      <w:r w:rsidRPr="00695398">
        <w:rPr>
          <w:rFonts w:ascii="Arial" w:hAnsi="Arial" w:cs="Arial"/>
          <w:b/>
          <w:sz w:val="26"/>
          <w:szCs w:val="26"/>
        </w:rPr>
        <w:t>6. Виконавці Програми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bookmarkStart w:id="2" w:name="_Hlk131547997"/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6.1. Відповідальним виконавцями Програми є: </w:t>
      </w:r>
      <w:r w:rsidR="00695398">
        <w:rPr>
          <w:rFonts w:ascii="Arial" w:hAnsi="Arial" w:cs="Arial"/>
          <w:sz w:val="26"/>
          <w:szCs w:val="26"/>
        </w:rPr>
        <w:t>Комунальне некомерційне підприємство</w:t>
      </w:r>
      <w:r w:rsidRPr="00305907">
        <w:rPr>
          <w:rFonts w:ascii="Arial" w:hAnsi="Arial" w:cs="Arial"/>
          <w:sz w:val="26"/>
          <w:szCs w:val="26"/>
        </w:rPr>
        <w:t xml:space="preserve"> "Стоматологічна поліклініка № 1" (</w:t>
      </w:r>
      <w:r w:rsidR="00695398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</w:t>
      </w:r>
      <w:r w:rsidR="00695398">
        <w:rPr>
          <w:rFonts w:ascii="Arial" w:hAnsi="Arial" w:cs="Arial"/>
          <w:sz w:val="26"/>
          <w:szCs w:val="26"/>
        </w:rPr>
        <w:t>–</w:t>
      </w:r>
      <w:r w:rsidRPr="00305907">
        <w:rPr>
          <w:rFonts w:ascii="Arial" w:hAnsi="Arial" w:cs="Arial"/>
          <w:sz w:val="26"/>
          <w:szCs w:val="26"/>
        </w:rPr>
        <w:t xml:space="preserve"> КНП "СП № 1"), </w:t>
      </w:r>
      <w:r w:rsidR="00695398">
        <w:rPr>
          <w:rFonts w:ascii="Arial" w:hAnsi="Arial" w:cs="Arial"/>
          <w:sz w:val="26"/>
          <w:szCs w:val="26"/>
        </w:rPr>
        <w:t>Комунальне некомерційне підприємство</w:t>
      </w:r>
      <w:r w:rsidRPr="00305907">
        <w:rPr>
          <w:rFonts w:ascii="Arial" w:hAnsi="Arial" w:cs="Arial"/>
          <w:sz w:val="26"/>
          <w:szCs w:val="26"/>
        </w:rPr>
        <w:t xml:space="preserve"> "Стомат</w:t>
      </w:r>
      <w:r w:rsidR="00695398">
        <w:rPr>
          <w:rFonts w:ascii="Arial" w:hAnsi="Arial" w:cs="Arial"/>
          <w:sz w:val="26"/>
          <w:szCs w:val="26"/>
        </w:rPr>
        <w:t xml:space="preserve">ологічна поліклініка </w:t>
      </w:r>
      <w:r w:rsidRPr="00305907">
        <w:rPr>
          <w:rFonts w:ascii="Arial" w:hAnsi="Arial" w:cs="Arial"/>
          <w:sz w:val="26"/>
          <w:szCs w:val="26"/>
        </w:rPr>
        <w:t>№ 4" (</w:t>
      </w:r>
      <w:r w:rsidR="00695398">
        <w:rPr>
          <w:rFonts w:ascii="Arial" w:hAnsi="Arial" w:cs="Arial"/>
          <w:sz w:val="26"/>
          <w:szCs w:val="26"/>
        </w:rPr>
        <w:t>на</w:t>
      </w:r>
      <w:r w:rsidRPr="00305907">
        <w:rPr>
          <w:rFonts w:ascii="Arial" w:hAnsi="Arial" w:cs="Arial"/>
          <w:sz w:val="26"/>
          <w:szCs w:val="26"/>
        </w:rPr>
        <w:t xml:space="preserve">далі </w:t>
      </w:r>
      <w:r w:rsidR="00695398">
        <w:rPr>
          <w:rFonts w:ascii="Arial" w:hAnsi="Arial" w:cs="Arial"/>
          <w:sz w:val="26"/>
          <w:szCs w:val="26"/>
        </w:rPr>
        <w:t>–</w:t>
      </w:r>
      <w:r w:rsidRPr="00305907">
        <w:rPr>
          <w:rFonts w:ascii="Arial" w:hAnsi="Arial" w:cs="Arial"/>
          <w:sz w:val="26"/>
          <w:szCs w:val="26"/>
        </w:rPr>
        <w:t xml:space="preserve"> КНП "СП № 4") та Госпрозрахункова</w:t>
      </w:r>
      <w:bookmarkEnd w:id="2"/>
      <w:r w:rsidRPr="00305907">
        <w:rPr>
          <w:rFonts w:ascii="Arial" w:hAnsi="Arial" w:cs="Arial"/>
          <w:sz w:val="26"/>
          <w:szCs w:val="26"/>
        </w:rPr>
        <w:t xml:space="preserve"> стоматологічна поліклініка м. Львова (надалі – ГСП).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695398" w:rsidRDefault="00563A49" w:rsidP="00695398">
      <w:pPr>
        <w:jc w:val="center"/>
        <w:rPr>
          <w:rFonts w:ascii="Arial" w:hAnsi="Arial" w:cs="Arial"/>
          <w:b/>
          <w:sz w:val="26"/>
          <w:szCs w:val="26"/>
        </w:rPr>
      </w:pPr>
      <w:r w:rsidRPr="00695398">
        <w:rPr>
          <w:rFonts w:ascii="Arial" w:hAnsi="Arial" w:cs="Arial"/>
          <w:b/>
          <w:sz w:val="26"/>
          <w:szCs w:val="26"/>
        </w:rPr>
        <w:t>7. Порядок відшкодування послуг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7.1. Відшкодування витрат за надані послуги з зубопротезування та лікувально-хірургічної підготовки до нього пільгових категорій громадян </w:t>
      </w:r>
      <w:r w:rsidR="00695398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 КНП "СП № 1", КНП "СП № 4" та ГСП здійснюється </w:t>
      </w:r>
      <w:r w:rsidRPr="00305907">
        <w:rPr>
          <w:rFonts w:ascii="Arial" w:hAnsi="Arial" w:cs="Arial"/>
          <w:sz w:val="26"/>
          <w:szCs w:val="26"/>
        </w:rPr>
        <w:lastRenderedPageBreak/>
        <w:t>щомісячно у межах видатків, передбачених у бюджеті Львівської МТГ на відповідний рік.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7.2. КНП "СП № 1", КНП "СП № 4" та ГСП надають платні послуги за тарифами, які затверджені 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</w:t>
      </w:r>
      <w:r w:rsidR="00695398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>становленому порядку.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7.3. Для отримання коштів за фактично понесені витрати на проведення зубопротезування та лікувально-хірургічн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підготовк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до нього пільгових категорій громадян КНП "СП № 1", КНП "СП № 4" та ГСП щомісячно до 5 числа місяця, наступного за звітним</w:t>
      </w:r>
      <w:r w:rsidR="00ED598D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надає управлінню охорони здоров’я </w:t>
      </w:r>
      <w:r w:rsidR="002C5254" w:rsidRPr="00305907">
        <w:rPr>
          <w:rFonts w:ascii="Arial" w:hAnsi="Arial" w:cs="Arial"/>
          <w:sz w:val="26"/>
          <w:szCs w:val="26"/>
        </w:rPr>
        <w:t xml:space="preserve">департаменту гуманітарної політики </w:t>
      </w:r>
      <w:r w:rsidRPr="00305907">
        <w:rPr>
          <w:rFonts w:ascii="Arial" w:hAnsi="Arial" w:cs="Arial"/>
          <w:sz w:val="26"/>
          <w:szCs w:val="26"/>
        </w:rPr>
        <w:t xml:space="preserve">акт про надані послуги, 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якому зазначається прізвище, ім’я та по батькові пацієнта, категорія та номер посвідчення, адреса проживання, дата надання послуги, назва послуги із стоматологічної допомоги, кількість наданих послуг, ціна за послугу (грн</w:t>
      </w:r>
      <w:r w:rsidR="00ED598D">
        <w:rPr>
          <w:rFonts w:ascii="Arial" w:hAnsi="Arial" w:cs="Arial"/>
          <w:sz w:val="26"/>
          <w:szCs w:val="26"/>
        </w:rPr>
        <w:t>.</w:t>
      </w:r>
      <w:r w:rsidRPr="00305907">
        <w:rPr>
          <w:rFonts w:ascii="Arial" w:hAnsi="Arial" w:cs="Arial"/>
          <w:sz w:val="26"/>
          <w:szCs w:val="26"/>
        </w:rPr>
        <w:t>) та сума відшкодування (грн</w:t>
      </w:r>
      <w:r w:rsidR="00ED598D">
        <w:rPr>
          <w:rFonts w:ascii="Arial" w:hAnsi="Arial" w:cs="Arial"/>
          <w:sz w:val="26"/>
          <w:szCs w:val="26"/>
        </w:rPr>
        <w:t>.</w:t>
      </w:r>
      <w:r w:rsidRPr="00305907">
        <w:rPr>
          <w:rFonts w:ascii="Arial" w:hAnsi="Arial" w:cs="Arial"/>
          <w:sz w:val="26"/>
          <w:szCs w:val="26"/>
        </w:rPr>
        <w:t>).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7.4. Управління охорони здоров’я </w:t>
      </w:r>
      <w:r w:rsidR="002C5254" w:rsidRPr="00305907">
        <w:rPr>
          <w:rFonts w:ascii="Arial" w:hAnsi="Arial" w:cs="Arial"/>
          <w:sz w:val="26"/>
          <w:szCs w:val="26"/>
        </w:rPr>
        <w:t xml:space="preserve">департаменту гуманітарної політики </w:t>
      </w:r>
      <w:r w:rsidRPr="00305907">
        <w:rPr>
          <w:rFonts w:ascii="Arial" w:hAnsi="Arial" w:cs="Arial"/>
          <w:sz w:val="26"/>
          <w:szCs w:val="26"/>
        </w:rPr>
        <w:t>після отримання фінансування з бюджету Львівської МТГ здійснює перерахування коштів КНП "СП № 1", КНП "СП № 4" та ГСП для відшкодування витрат за надані послуги з зубопротезування та лікувально-хірургічної підготовки до нього пільговим категоріям громадян Львівської МТГ.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7.5. КНП "СП № 1", КНП "СП № 4" та ГСП несуть відповідальність за достовірність даних в актах про надані послуги, якість надання послуг з зубопротезування та лікувально-хірургічної підготовки до нього пільговим категоріям громадян </w:t>
      </w:r>
      <w:r w:rsidR="00695398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7.6. Складання та подання фінансової звітності про використання бюджетних коштів, а також контроль за їх цільовим та ефективним ви</w:t>
      </w:r>
      <w:r w:rsidR="00695398">
        <w:rPr>
          <w:rFonts w:ascii="Arial" w:hAnsi="Arial" w:cs="Arial"/>
          <w:sz w:val="26"/>
          <w:szCs w:val="26"/>
        </w:rPr>
        <w:t>користання</w:t>
      </w:r>
      <w:r w:rsidR="00275387">
        <w:rPr>
          <w:rFonts w:ascii="Arial" w:hAnsi="Arial" w:cs="Arial"/>
          <w:sz w:val="26"/>
          <w:szCs w:val="26"/>
        </w:rPr>
        <w:t>м</w:t>
      </w:r>
      <w:r w:rsidRPr="00305907">
        <w:rPr>
          <w:rFonts w:ascii="Arial" w:hAnsi="Arial" w:cs="Arial"/>
          <w:sz w:val="26"/>
          <w:szCs w:val="26"/>
        </w:rPr>
        <w:t xml:space="preserve"> здійснюється </w:t>
      </w:r>
      <w:r w:rsidR="00695398">
        <w:rPr>
          <w:rFonts w:ascii="Arial" w:hAnsi="Arial" w:cs="Arial"/>
          <w:sz w:val="26"/>
          <w:szCs w:val="26"/>
        </w:rPr>
        <w:t>у</w:t>
      </w:r>
      <w:r w:rsidRPr="00305907">
        <w:rPr>
          <w:rFonts w:ascii="Arial" w:hAnsi="Arial" w:cs="Arial"/>
          <w:sz w:val="26"/>
          <w:szCs w:val="26"/>
        </w:rPr>
        <w:t xml:space="preserve"> </w:t>
      </w:r>
      <w:r w:rsidR="00695398">
        <w:rPr>
          <w:rFonts w:ascii="Arial" w:hAnsi="Arial" w:cs="Arial"/>
          <w:sz w:val="26"/>
          <w:szCs w:val="26"/>
        </w:rPr>
        <w:t>в</w:t>
      </w:r>
      <w:r w:rsidRPr="00305907">
        <w:rPr>
          <w:rFonts w:ascii="Arial" w:hAnsi="Arial" w:cs="Arial"/>
          <w:sz w:val="26"/>
          <w:szCs w:val="26"/>
        </w:rPr>
        <w:t xml:space="preserve">становленому законодавством </w:t>
      </w:r>
      <w:r w:rsidR="00695398">
        <w:rPr>
          <w:rFonts w:ascii="Arial" w:hAnsi="Arial" w:cs="Arial"/>
          <w:sz w:val="26"/>
          <w:szCs w:val="26"/>
        </w:rPr>
        <w:t xml:space="preserve">України </w:t>
      </w:r>
      <w:r w:rsidRPr="00305907">
        <w:rPr>
          <w:rFonts w:ascii="Arial" w:hAnsi="Arial" w:cs="Arial"/>
          <w:sz w:val="26"/>
          <w:szCs w:val="26"/>
        </w:rPr>
        <w:t>порядку.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695398" w:rsidRDefault="00563A49" w:rsidP="00695398">
      <w:pPr>
        <w:jc w:val="center"/>
        <w:rPr>
          <w:rFonts w:ascii="Arial" w:hAnsi="Arial" w:cs="Arial"/>
          <w:b/>
          <w:sz w:val="26"/>
          <w:szCs w:val="26"/>
        </w:rPr>
      </w:pPr>
      <w:r w:rsidRPr="00695398">
        <w:rPr>
          <w:rFonts w:ascii="Arial" w:hAnsi="Arial" w:cs="Arial"/>
          <w:b/>
          <w:sz w:val="26"/>
          <w:szCs w:val="26"/>
        </w:rPr>
        <w:t>8. Очікувані результати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 Виконання </w:t>
      </w:r>
      <w:r w:rsidR="00695398">
        <w:rPr>
          <w:rFonts w:ascii="Arial" w:hAnsi="Arial" w:cs="Arial"/>
          <w:sz w:val="26"/>
          <w:szCs w:val="26"/>
        </w:rPr>
        <w:t>П</w:t>
      </w:r>
      <w:r w:rsidRPr="00305907">
        <w:rPr>
          <w:rFonts w:ascii="Arial" w:hAnsi="Arial" w:cs="Arial"/>
          <w:sz w:val="26"/>
          <w:szCs w:val="26"/>
        </w:rPr>
        <w:t>рограми дасть можливість: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8.1.1. Створити умови для реалізації права на доступність до ортопедичної стоматологічної допомоги визначеним у Програмі категоріям </w:t>
      </w:r>
      <w:r w:rsidR="00695398">
        <w:rPr>
          <w:rFonts w:ascii="Arial" w:hAnsi="Arial" w:cs="Arial"/>
          <w:sz w:val="26"/>
          <w:szCs w:val="26"/>
        </w:rPr>
        <w:t>громадян</w:t>
      </w:r>
      <w:r w:rsidRPr="00305907">
        <w:rPr>
          <w:rFonts w:ascii="Arial" w:hAnsi="Arial" w:cs="Arial"/>
          <w:sz w:val="26"/>
          <w:szCs w:val="26"/>
        </w:rPr>
        <w:t xml:space="preserve"> Львівської МТГ.</w:t>
      </w:r>
    </w:p>
    <w:p w:rsidR="00563A49" w:rsidRPr="00E927E6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8.1.2. </w:t>
      </w:r>
      <w:r w:rsidRPr="00E927E6">
        <w:rPr>
          <w:rFonts w:ascii="Arial" w:hAnsi="Arial" w:cs="Arial"/>
          <w:sz w:val="26"/>
          <w:szCs w:val="26"/>
        </w:rPr>
        <w:t xml:space="preserve">Дотримуватись вимог законодавства України щодо забезпечення </w:t>
      </w:r>
      <w:r w:rsidR="00E927E6" w:rsidRPr="00E927E6">
        <w:rPr>
          <w:rFonts w:ascii="Arial" w:hAnsi="Arial" w:cs="Arial"/>
          <w:sz w:val="26"/>
          <w:szCs w:val="26"/>
        </w:rPr>
        <w:t xml:space="preserve">гарантованого обсягу </w:t>
      </w:r>
      <w:r w:rsidRPr="00E927E6">
        <w:rPr>
          <w:rFonts w:ascii="Arial" w:hAnsi="Arial" w:cs="Arial"/>
          <w:sz w:val="26"/>
          <w:szCs w:val="26"/>
        </w:rPr>
        <w:t>стоматологічно</w:t>
      </w:r>
      <w:r w:rsidR="00E927E6" w:rsidRPr="00E927E6">
        <w:rPr>
          <w:rFonts w:ascii="Arial" w:hAnsi="Arial" w:cs="Arial"/>
          <w:sz w:val="26"/>
          <w:szCs w:val="26"/>
        </w:rPr>
        <w:t>ї</w:t>
      </w:r>
      <w:r w:rsidRPr="00E927E6">
        <w:rPr>
          <w:rFonts w:ascii="Arial" w:hAnsi="Arial" w:cs="Arial"/>
          <w:sz w:val="26"/>
          <w:szCs w:val="26"/>
        </w:rPr>
        <w:t xml:space="preserve"> допомог</w:t>
      </w:r>
      <w:r w:rsidR="00E927E6" w:rsidRPr="00E927E6">
        <w:rPr>
          <w:rFonts w:ascii="Arial" w:hAnsi="Arial" w:cs="Arial"/>
          <w:sz w:val="26"/>
          <w:szCs w:val="26"/>
        </w:rPr>
        <w:t>и</w:t>
      </w:r>
      <w:r w:rsidRPr="00E927E6">
        <w:rPr>
          <w:rFonts w:ascii="Arial" w:hAnsi="Arial" w:cs="Arial"/>
          <w:sz w:val="26"/>
          <w:szCs w:val="26"/>
        </w:rPr>
        <w:t xml:space="preserve"> категорій </w:t>
      </w:r>
      <w:r w:rsidR="00695398" w:rsidRPr="00E927E6">
        <w:rPr>
          <w:rFonts w:ascii="Arial" w:hAnsi="Arial" w:cs="Arial"/>
          <w:sz w:val="26"/>
          <w:szCs w:val="26"/>
        </w:rPr>
        <w:t>громадян</w:t>
      </w:r>
      <w:r w:rsidRPr="00E927E6">
        <w:rPr>
          <w:rFonts w:ascii="Arial" w:hAnsi="Arial" w:cs="Arial"/>
          <w:sz w:val="26"/>
          <w:szCs w:val="26"/>
        </w:rPr>
        <w:t>, визнач</w:t>
      </w:r>
      <w:r w:rsidR="00E927E6" w:rsidRPr="00E927E6">
        <w:rPr>
          <w:rFonts w:ascii="Arial" w:hAnsi="Arial" w:cs="Arial"/>
          <w:sz w:val="26"/>
          <w:szCs w:val="26"/>
        </w:rPr>
        <w:t>ених у пункті 4.4 цієї Програми</w:t>
      </w:r>
      <w:r w:rsidRPr="00E927E6">
        <w:rPr>
          <w:rFonts w:ascii="Arial" w:hAnsi="Arial" w:cs="Arial"/>
          <w:sz w:val="26"/>
          <w:szCs w:val="26"/>
        </w:rPr>
        <w:t>.</w:t>
      </w:r>
    </w:p>
    <w:p w:rsidR="00563A49" w:rsidRPr="00305907" w:rsidRDefault="00563A49" w:rsidP="0069539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8.1.3. Покращити жувальну і </w:t>
      </w:r>
      <w:proofErr w:type="spellStart"/>
      <w:r w:rsidRPr="00305907">
        <w:rPr>
          <w:rFonts w:ascii="Arial" w:hAnsi="Arial" w:cs="Arial"/>
          <w:sz w:val="26"/>
          <w:szCs w:val="26"/>
        </w:rPr>
        <w:t>мовну</w:t>
      </w:r>
      <w:proofErr w:type="spellEnd"/>
      <w:r w:rsidRPr="00305907">
        <w:rPr>
          <w:rFonts w:ascii="Arial" w:hAnsi="Arial" w:cs="Arial"/>
          <w:sz w:val="26"/>
          <w:szCs w:val="26"/>
        </w:rPr>
        <w:t xml:space="preserve"> функції щелепної системи</w:t>
      </w:r>
      <w:r w:rsidR="002C5254">
        <w:rPr>
          <w:rFonts w:ascii="Arial" w:hAnsi="Arial" w:cs="Arial"/>
          <w:sz w:val="26"/>
          <w:szCs w:val="26"/>
        </w:rPr>
        <w:t>,</w:t>
      </w:r>
      <w:r w:rsidRPr="00305907">
        <w:rPr>
          <w:rFonts w:ascii="Arial" w:hAnsi="Arial" w:cs="Arial"/>
          <w:sz w:val="26"/>
          <w:szCs w:val="26"/>
        </w:rPr>
        <w:t xml:space="preserve"> визначеним у Програмі категоріям </w:t>
      </w:r>
      <w:r w:rsidR="002C5254">
        <w:rPr>
          <w:rFonts w:ascii="Arial" w:hAnsi="Arial" w:cs="Arial"/>
          <w:sz w:val="26"/>
          <w:szCs w:val="26"/>
        </w:rPr>
        <w:t>жителів</w:t>
      </w:r>
      <w:r w:rsidRPr="00305907">
        <w:rPr>
          <w:rFonts w:ascii="Arial" w:hAnsi="Arial" w:cs="Arial"/>
          <w:sz w:val="26"/>
          <w:szCs w:val="26"/>
        </w:rPr>
        <w:t xml:space="preserve"> Львівської МТГ, покращити загальний стан їх</w:t>
      </w:r>
      <w:r w:rsidR="00ED598D">
        <w:rPr>
          <w:rFonts w:ascii="Arial" w:hAnsi="Arial" w:cs="Arial"/>
          <w:sz w:val="26"/>
          <w:szCs w:val="26"/>
        </w:rPr>
        <w:t>нього</w:t>
      </w:r>
      <w:r w:rsidRPr="00305907">
        <w:rPr>
          <w:rFonts w:ascii="Arial" w:hAnsi="Arial" w:cs="Arial"/>
          <w:sz w:val="26"/>
          <w:szCs w:val="26"/>
        </w:rPr>
        <w:t xml:space="preserve"> здоров’я і життя.</w:t>
      </w: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8.1.4. Зменшити соціальну напругу, пов’язану з неспроможністю самостійного забезпечення зубопротезуванням.</w:t>
      </w:r>
    </w:p>
    <w:p w:rsidR="002C5254" w:rsidRDefault="002C5254" w:rsidP="002C5254">
      <w:pPr>
        <w:jc w:val="center"/>
        <w:rPr>
          <w:rFonts w:ascii="Arial" w:hAnsi="Arial" w:cs="Arial"/>
          <w:b/>
          <w:sz w:val="26"/>
          <w:szCs w:val="26"/>
        </w:rPr>
      </w:pPr>
    </w:p>
    <w:p w:rsidR="00563A49" w:rsidRPr="002C5254" w:rsidRDefault="00563A49" w:rsidP="002C5254">
      <w:pPr>
        <w:jc w:val="center"/>
        <w:rPr>
          <w:rFonts w:ascii="Arial" w:hAnsi="Arial" w:cs="Arial"/>
          <w:b/>
          <w:sz w:val="26"/>
          <w:szCs w:val="26"/>
        </w:rPr>
      </w:pPr>
      <w:r w:rsidRPr="002C5254">
        <w:rPr>
          <w:rFonts w:ascii="Arial" w:hAnsi="Arial" w:cs="Arial"/>
          <w:b/>
          <w:sz w:val="26"/>
          <w:szCs w:val="26"/>
        </w:rPr>
        <w:t>9. Контроль за виконанням Програми</w:t>
      </w:r>
    </w:p>
    <w:p w:rsidR="002C5254" w:rsidRDefault="002C5254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9.1. Координацію та контроль за виконанням Програми здійснює управління охорони здоров’я департаменту гуманітарної політики Львівської міської ради.</w:t>
      </w: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9.2. Інформація про виконання цієї Програми розміщується на офіційному сайті Львівської міської ради та подається у публічний річний звіт </w:t>
      </w:r>
      <w:r w:rsidRPr="00305907">
        <w:rPr>
          <w:rFonts w:ascii="Arial" w:hAnsi="Arial" w:cs="Arial"/>
          <w:sz w:val="26"/>
          <w:szCs w:val="26"/>
        </w:rPr>
        <w:lastRenderedPageBreak/>
        <w:t>про роботу структурних підрозділів міської ради перед громадськістю з дотриманням вимог законодавства України.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2C5254" w:rsidRDefault="002C5254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Секретар ради</w:t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  <w:t>Маркіян ЛОПАЧАК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2C525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Віза: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  <w:r w:rsidRPr="00305907">
        <w:rPr>
          <w:rFonts w:ascii="Arial" w:hAnsi="Arial" w:cs="Arial"/>
          <w:sz w:val="26"/>
          <w:szCs w:val="26"/>
        </w:rPr>
        <w:t>охорони здоров'я</w:t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ab/>
      </w:r>
      <w:r w:rsidR="002C5254">
        <w:rPr>
          <w:rFonts w:ascii="Arial" w:hAnsi="Arial" w:cs="Arial"/>
          <w:sz w:val="26"/>
          <w:szCs w:val="26"/>
        </w:rPr>
        <w:tab/>
      </w:r>
      <w:r w:rsidRPr="00305907">
        <w:rPr>
          <w:rFonts w:ascii="Arial" w:hAnsi="Arial" w:cs="Arial"/>
          <w:sz w:val="26"/>
          <w:szCs w:val="26"/>
        </w:rPr>
        <w:t>Марта МАТЮШКО</w:t>
      </w:r>
    </w:p>
    <w:p w:rsidR="00563A49" w:rsidRPr="00305907" w:rsidRDefault="00563A49" w:rsidP="00305907">
      <w:pPr>
        <w:jc w:val="both"/>
        <w:rPr>
          <w:rFonts w:ascii="Arial" w:hAnsi="Arial" w:cs="Arial"/>
          <w:sz w:val="26"/>
          <w:szCs w:val="26"/>
        </w:rPr>
      </w:pPr>
    </w:p>
    <w:p w:rsidR="00377E4C" w:rsidRPr="00305907" w:rsidRDefault="00377E4C" w:rsidP="00305907">
      <w:pPr>
        <w:jc w:val="both"/>
        <w:rPr>
          <w:rFonts w:ascii="Arial" w:hAnsi="Arial" w:cs="Arial"/>
          <w:sz w:val="26"/>
          <w:szCs w:val="26"/>
        </w:rPr>
      </w:pPr>
    </w:p>
    <w:sectPr w:rsidR="00377E4C" w:rsidRPr="00305907" w:rsidSect="00A9155F">
      <w:headerReference w:type="default" r:id="rId12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51" w:rsidRDefault="00E97151">
      <w:r>
        <w:separator/>
      </w:r>
    </w:p>
  </w:endnote>
  <w:endnote w:type="continuationSeparator" w:id="0">
    <w:p w:rsidR="00E97151" w:rsidRDefault="00E9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51" w:rsidRDefault="00E97151">
      <w:r>
        <w:separator/>
      </w:r>
    </w:p>
  </w:footnote>
  <w:footnote w:type="continuationSeparator" w:id="0">
    <w:p w:rsidR="00E97151" w:rsidRDefault="00E9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289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04B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75387"/>
    <w:rsid w:val="00281816"/>
    <w:rsid w:val="002821CE"/>
    <w:rsid w:val="0029112D"/>
    <w:rsid w:val="002C5254"/>
    <w:rsid w:val="002D7A52"/>
    <w:rsid w:val="002E156C"/>
    <w:rsid w:val="002E15F2"/>
    <w:rsid w:val="002E2E27"/>
    <w:rsid w:val="002F0DDF"/>
    <w:rsid w:val="002F657B"/>
    <w:rsid w:val="00305907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63A49"/>
    <w:rsid w:val="00581213"/>
    <w:rsid w:val="005A76F8"/>
    <w:rsid w:val="005A77D2"/>
    <w:rsid w:val="005B2385"/>
    <w:rsid w:val="005B7757"/>
    <w:rsid w:val="005C0F38"/>
    <w:rsid w:val="005D0F50"/>
    <w:rsid w:val="006225E1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95398"/>
    <w:rsid w:val="006B05A4"/>
    <w:rsid w:val="006B2C75"/>
    <w:rsid w:val="006B53A4"/>
    <w:rsid w:val="006C5116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2289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27E6"/>
    <w:rsid w:val="00E94201"/>
    <w:rsid w:val="00E9700B"/>
    <w:rsid w:val="00E97151"/>
    <w:rsid w:val="00EA422B"/>
    <w:rsid w:val="00EA615C"/>
    <w:rsid w:val="00EC17AE"/>
    <w:rsid w:val="00ED0942"/>
    <w:rsid w:val="00ED598D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5B67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F66D71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3551-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0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372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CCA9-1373-4A4D-8690-8E5FCDFE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1486</Words>
  <Characters>10631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31</cp:revision>
  <cp:lastPrinted>2023-09-20T10:44:00Z</cp:lastPrinted>
  <dcterms:created xsi:type="dcterms:W3CDTF">2021-07-02T07:40:00Z</dcterms:created>
  <dcterms:modified xsi:type="dcterms:W3CDTF">2023-09-20T14:25:00Z</dcterms:modified>
</cp:coreProperties>
</file>