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4F31" w14:textId="2D6619B2" w:rsidR="00462E07" w:rsidRDefault="00462E07" w:rsidP="00462E07">
      <w:pPr>
        <w:ind w:left="6372" w:firstLine="708"/>
        <w:jc w:val="both"/>
        <w:rPr>
          <w:rFonts w:ascii="Arial" w:hAnsi="Arial" w:cs="Arial"/>
          <w:sz w:val="26"/>
          <w:szCs w:val="26"/>
        </w:rPr>
      </w:pPr>
      <w:bookmarkStart w:id="0" w:name="_GoBack"/>
      <w:bookmarkEnd w:id="0"/>
      <w:r>
        <w:rPr>
          <w:rFonts w:ascii="Arial" w:hAnsi="Arial" w:cs="Arial"/>
          <w:sz w:val="26"/>
          <w:szCs w:val="26"/>
        </w:rPr>
        <w:t xml:space="preserve">Додаток </w:t>
      </w:r>
      <w:r w:rsidR="004B7E72">
        <w:rPr>
          <w:rFonts w:ascii="Arial" w:hAnsi="Arial" w:cs="Arial"/>
          <w:sz w:val="26"/>
          <w:szCs w:val="26"/>
        </w:rPr>
        <w:t>2</w:t>
      </w:r>
    </w:p>
    <w:p w14:paraId="2D14E431" w14:textId="77777777" w:rsidR="00462E07" w:rsidRDefault="00462E07" w:rsidP="00462E07">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до ухвали міської ради</w:t>
      </w:r>
    </w:p>
    <w:p w14:paraId="1582FA07" w14:textId="77777777" w:rsidR="00462E07" w:rsidRDefault="00462E07" w:rsidP="00462E07">
      <w:pPr>
        <w:ind w:left="5664" w:firstLine="708"/>
        <w:rPr>
          <w:rFonts w:ascii="Arial" w:hAnsi="Arial" w:cs="Arial"/>
          <w:sz w:val="26"/>
          <w:szCs w:val="26"/>
        </w:rPr>
      </w:pPr>
      <w:r>
        <w:rPr>
          <w:rFonts w:ascii="Arial" w:hAnsi="Arial" w:cs="Arial"/>
          <w:sz w:val="26"/>
          <w:szCs w:val="26"/>
        </w:rPr>
        <w:t>від _________ № ____</w:t>
      </w:r>
    </w:p>
    <w:p w14:paraId="5CBEAA4B" w14:textId="77777777" w:rsidR="00462E07" w:rsidRDefault="00462E07" w:rsidP="00462E07">
      <w:pPr>
        <w:shd w:val="clear" w:color="auto" w:fill="FFFFFF"/>
        <w:jc w:val="center"/>
        <w:rPr>
          <w:rFonts w:ascii="Arial" w:hAnsi="Arial" w:cs="Arial"/>
          <w:sz w:val="26"/>
          <w:szCs w:val="26"/>
          <w:lang w:eastAsia="uk-UA"/>
        </w:rPr>
      </w:pPr>
    </w:p>
    <w:p w14:paraId="1997F197" w14:textId="77777777" w:rsidR="00462E07" w:rsidRDefault="00462E07" w:rsidP="00462E07">
      <w:pPr>
        <w:jc w:val="center"/>
        <w:rPr>
          <w:rFonts w:ascii="Arial" w:hAnsi="Arial" w:cs="Arial"/>
          <w:sz w:val="26"/>
          <w:szCs w:val="26"/>
          <w:lang w:eastAsia="uk-UA"/>
        </w:rPr>
      </w:pPr>
    </w:p>
    <w:p w14:paraId="751BE85F" w14:textId="77777777" w:rsidR="00462E07" w:rsidRDefault="00462E07" w:rsidP="00462E07">
      <w:pPr>
        <w:jc w:val="center"/>
        <w:rPr>
          <w:rFonts w:ascii="Arial" w:hAnsi="Arial" w:cs="Arial"/>
          <w:sz w:val="26"/>
          <w:szCs w:val="26"/>
          <w:lang w:eastAsia="uk-UA"/>
        </w:rPr>
      </w:pPr>
      <w:r>
        <w:rPr>
          <w:rFonts w:ascii="Arial" w:hAnsi="Arial" w:cs="Arial"/>
          <w:sz w:val="26"/>
          <w:szCs w:val="26"/>
          <w:lang w:eastAsia="uk-UA"/>
        </w:rPr>
        <w:t>НОВА РЕДАКЦІЯ</w:t>
      </w:r>
    </w:p>
    <w:p w14:paraId="4AAE7F65" w14:textId="77777777" w:rsidR="00462E07" w:rsidRDefault="00462E07" w:rsidP="00462E07">
      <w:pPr>
        <w:jc w:val="center"/>
        <w:rPr>
          <w:rFonts w:ascii="Arial" w:hAnsi="Arial" w:cs="Arial"/>
          <w:b/>
          <w:sz w:val="26"/>
          <w:szCs w:val="26"/>
        </w:rPr>
      </w:pPr>
      <w:r>
        <w:rPr>
          <w:rFonts w:ascii="Arial" w:hAnsi="Arial" w:cs="Arial"/>
          <w:sz w:val="26"/>
          <w:szCs w:val="26"/>
          <w:lang w:eastAsia="uk-UA"/>
        </w:rPr>
        <w:t>частини 1 "Повноваження офісу охорони культурної спадщини" розділу Х "</w:t>
      </w:r>
      <w:r>
        <w:rPr>
          <w:rFonts w:ascii="Arial" w:hAnsi="Arial" w:cs="Arial"/>
          <w:sz w:val="26"/>
          <w:szCs w:val="26"/>
        </w:rPr>
        <w:t>Повноваження виконавчих органів, які підпорядковані безпосередньо керуючому справами виконкому</w:t>
      </w:r>
      <w:r>
        <w:rPr>
          <w:rFonts w:ascii="Arial" w:hAnsi="Arial" w:cs="Arial"/>
          <w:sz w:val="26"/>
          <w:szCs w:val="26"/>
          <w:lang w:eastAsia="uk-UA"/>
        </w:rPr>
        <w:t xml:space="preserve">" </w:t>
      </w:r>
    </w:p>
    <w:p w14:paraId="235A1B56" w14:textId="77777777" w:rsidR="00462E07" w:rsidRDefault="00462E07" w:rsidP="00462E07">
      <w:pPr>
        <w:jc w:val="center"/>
        <w:rPr>
          <w:rFonts w:ascii="Arial" w:hAnsi="Arial" w:cs="Arial"/>
          <w:b/>
          <w:sz w:val="26"/>
          <w:szCs w:val="26"/>
        </w:rPr>
      </w:pPr>
    </w:p>
    <w:p w14:paraId="52D77D52" w14:textId="77777777" w:rsidR="00462E07" w:rsidRDefault="00462E07" w:rsidP="00462E07">
      <w:pPr>
        <w:jc w:val="center"/>
        <w:rPr>
          <w:rFonts w:ascii="Arial" w:hAnsi="Arial" w:cs="Arial"/>
          <w:b/>
          <w:sz w:val="26"/>
          <w:szCs w:val="26"/>
        </w:rPr>
      </w:pPr>
      <w:r>
        <w:rPr>
          <w:rFonts w:ascii="Arial" w:hAnsi="Arial" w:cs="Arial"/>
          <w:b/>
          <w:sz w:val="26"/>
          <w:szCs w:val="26"/>
        </w:rPr>
        <w:t>"1. Повноваження офісу охорони культурної спадщини</w:t>
      </w:r>
    </w:p>
    <w:p w14:paraId="2FEF8CC7" w14:textId="77777777" w:rsidR="00462E07" w:rsidRDefault="00462E07" w:rsidP="00462E07">
      <w:pPr>
        <w:ind w:firstLine="708"/>
        <w:jc w:val="both"/>
        <w:rPr>
          <w:rFonts w:ascii="Arial" w:hAnsi="Arial" w:cs="Arial"/>
          <w:sz w:val="26"/>
          <w:szCs w:val="26"/>
        </w:rPr>
      </w:pPr>
    </w:p>
    <w:p w14:paraId="13F88DE8" w14:textId="77777777" w:rsidR="00462E07" w:rsidRDefault="00462E07" w:rsidP="00462E07">
      <w:pPr>
        <w:ind w:firstLine="709"/>
        <w:jc w:val="both"/>
        <w:rPr>
          <w:rFonts w:ascii="Arial" w:hAnsi="Arial" w:cs="Arial"/>
          <w:sz w:val="26"/>
          <w:szCs w:val="26"/>
        </w:rPr>
      </w:pPr>
      <w:r>
        <w:rPr>
          <w:rFonts w:ascii="Arial" w:hAnsi="Arial" w:cs="Arial"/>
          <w:sz w:val="26"/>
          <w:szCs w:val="26"/>
        </w:rPr>
        <w:t>1. Організація та координація робіт з виявлення, паспортизації, ведення обліку та інвентаризації об’єктів культурної спадщини.</w:t>
      </w:r>
    </w:p>
    <w:p w14:paraId="4168A811" w14:textId="77777777" w:rsidR="00462E07" w:rsidRDefault="00462E07" w:rsidP="00462E07">
      <w:pPr>
        <w:ind w:firstLine="708"/>
        <w:jc w:val="both"/>
        <w:rPr>
          <w:rFonts w:ascii="Arial" w:hAnsi="Arial" w:cs="Arial"/>
          <w:sz w:val="26"/>
          <w:szCs w:val="26"/>
        </w:rPr>
      </w:pPr>
      <w:r>
        <w:rPr>
          <w:rFonts w:ascii="Arial" w:hAnsi="Arial" w:cs="Arial"/>
          <w:sz w:val="26"/>
          <w:szCs w:val="26"/>
        </w:rPr>
        <w:t>2.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14:paraId="67046326" w14:textId="77777777" w:rsidR="00462E07" w:rsidRDefault="00462E07" w:rsidP="00462E07">
      <w:pPr>
        <w:ind w:firstLine="709"/>
        <w:jc w:val="both"/>
        <w:rPr>
          <w:rFonts w:ascii="Arial" w:hAnsi="Arial" w:cs="Arial"/>
          <w:sz w:val="26"/>
          <w:szCs w:val="26"/>
        </w:rPr>
      </w:pPr>
      <w:r>
        <w:rPr>
          <w:rFonts w:ascii="Arial" w:hAnsi="Arial" w:cs="Arial"/>
          <w:sz w:val="26"/>
          <w:szCs w:val="26"/>
        </w:rPr>
        <w:t>3. Підготовка та подання пропозицій органам охорони культурної спадщини вищого рівня щодо занесення об’єктів до Державного реєстру нерухомих пам’яток України, внесення змін до нього та занесення територій до Списку історичних населених місць України.</w:t>
      </w:r>
    </w:p>
    <w:p w14:paraId="2E5C93E1" w14:textId="77777777" w:rsidR="00462E07" w:rsidRDefault="00462E07" w:rsidP="00462E07">
      <w:pPr>
        <w:ind w:firstLine="709"/>
        <w:jc w:val="both"/>
        <w:rPr>
          <w:rFonts w:ascii="Arial" w:hAnsi="Arial" w:cs="Arial"/>
          <w:sz w:val="26"/>
          <w:szCs w:val="26"/>
        </w:rPr>
      </w:pPr>
      <w:r>
        <w:rPr>
          <w:rFonts w:ascii="Arial" w:hAnsi="Arial" w:cs="Arial"/>
          <w:sz w:val="26"/>
          <w:szCs w:val="26"/>
        </w:rPr>
        <w:t>4. Забезпечення виконання вимог законодавства у сфері охорони культурної спадщини.</w:t>
      </w:r>
    </w:p>
    <w:p w14:paraId="30A1E7DF" w14:textId="77777777" w:rsidR="00462E07" w:rsidRDefault="00462E07" w:rsidP="00462E07">
      <w:pPr>
        <w:ind w:firstLine="709"/>
        <w:jc w:val="both"/>
        <w:rPr>
          <w:rFonts w:ascii="Arial" w:hAnsi="Arial" w:cs="Arial"/>
          <w:sz w:val="26"/>
          <w:szCs w:val="26"/>
        </w:rPr>
      </w:pPr>
      <w:r>
        <w:rPr>
          <w:rFonts w:ascii="Arial" w:hAnsi="Arial" w:cs="Arial"/>
          <w:sz w:val="26"/>
          <w:szCs w:val="26"/>
        </w:rPr>
        <w:t>5. Забезпечення дотримання режимів використання пам’яток культурної спадщини, їхніх територій та зон охорони.</w:t>
      </w:r>
    </w:p>
    <w:p w14:paraId="4E491447" w14:textId="77777777" w:rsidR="00462E07" w:rsidRDefault="00462E07" w:rsidP="00462E07">
      <w:pPr>
        <w:ind w:firstLine="709"/>
        <w:jc w:val="both"/>
        <w:rPr>
          <w:rFonts w:ascii="Arial" w:hAnsi="Arial" w:cs="Arial"/>
          <w:sz w:val="26"/>
          <w:szCs w:val="26"/>
        </w:rPr>
      </w:pPr>
      <w:r>
        <w:rPr>
          <w:rFonts w:ascii="Arial" w:hAnsi="Arial" w:cs="Arial"/>
          <w:sz w:val="26"/>
          <w:szCs w:val="26"/>
        </w:rPr>
        <w:t>6. Застосування фінансових санкцій за порушення законодавства у сфері охорони культурної спадщини.</w:t>
      </w:r>
    </w:p>
    <w:p w14:paraId="649BBF75" w14:textId="77777777" w:rsidR="00462E07" w:rsidRDefault="00462E07" w:rsidP="00462E07">
      <w:pPr>
        <w:ind w:firstLine="709"/>
        <w:jc w:val="both"/>
        <w:rPr>
          <w:rFonts w:ascii="Arial" w:hAnsi="Arial" w:cs="Arial"/>
          <w:sz w:val="26"/>
          <w:szCs w:val="26"/>
        </w:rPr>
      </w:pPr>
      <w:r>
        <w:rPr>
          <w:rFonts w:ascii="Arial" w:hAnsi="Arial" w:cs="Arial"/>
          <w:sz w:val="26"/>
          <w:szCs w:val="26"/>
        </w:rPr>
        <w:t>7. Складання протоколів про адміністративні правопорушення та формування адміністративних справ.</w:t>
      </w:r>
    </w:p>
    <w:p w14:paraId="460CD946" w14:textId="77777777" w:rsidR="00462E07" w:rsidRDefault="00462E07" w:rsidP="00462E07">
      <w:pPr>
        <w:ind w:firstLine="709"/>
        <w:jc w:val="both"/>
        <w:rPr>
          <w:rFonts w:ascii="Arial" w:hAnsi="Arial" w:cs="Arial"/>
          <w:sz w:val="26"/>
          <w:szCs w:val="26"/>
        </w:rPr>
      </w:pPr>
      <w:r>
        <w:rPr>
          <w:rFonts w:ascii="Arial" w:hAnsi="Arial" w:cs="Arial"/>
          <w:sz w:val="26"/>
          <w:szCs w:val="26"/>
        </w:rPr>
        <w:t>8. Видання приписів та розпоряджень щодо охорони пам’яток культурної спадщини, у тому числі про припинення робіт, що здійснюються з порушенням вимог законодавства.</w:t>
      </w:r>
    </w:p>
    <w:p w14:paraId="75F8303D" w14:textId="77777777" w:rsidR="00462E07" w:rsidRDefault="00462E07" w:rsidP="00462E07">
      <w:pPr>
        <w:ind w:firstLine="709"/>
        <w:jc w:val="both"/>
        <w:rPr>
          <w:rFonts w:ascii="Arial" w:hAnsi="Arial" w:cs="Arial"/>
          <w:sz w:val="26"/>
          <w:szCs w:val="26"/>
        </w:rPr>
      </w:pPr>
      <w:r>
        <w:rPr>
          <w:rFonts w:ascii="Arial" w:hAnsi="Arial" w:cs="Arial"/>
          <w:sz w:val="26"/>
          <w:szCs w:val="26"/>
        </w:rPr>
        <w:t>9. Підготовка та надання висновків щодо програм, проєктів і заходів у сфері містобудування, архітектури, ландшафтних та інших перетворень, реалізація яких може впливати на стан об’єктів культурної спадщини.</w:t>
      </w:r>
    </w:p>
    <w:p w14:paraId="4D5F7DE2" w14:textId="77777777" w:rsidR="00462E07" w:rsidRDefault="00462E07" w:rsidP="00462E07">
      <w:pPr>
        <w:ind w:firstLine="709"/>
        <w:jc w:val="both"/>
        <w:rPr>
          <w:rFonts w:ascii="Arial" w:hAnsi="Arial" w:cs="Arial"/>
          <w:sz w:val="26"/>
          <w:szCs w:val="26"/>
        </w:rPr>
      </w:pPr>
      <w:r>
        <w:rPr>
          <w:rFonts w:ascii="Arial" w:hAnsi="Arial" w:cs="Arial"/>
          <w:sz w:val="26"/>
          <w:szCs w:val="26"/>
        </w:rPr>
        <w:t>10. Погодження паспортів відкритих літніх майданчиків в історичних ареалах, паспортів малих архітектурних форм (вивісок) на пам’ятках культурної спадщини.</w:t>
      </w:r>
    </w:p>
    <w:p w14:paraId="636D2C54" w14:textId="77777777" w:rsidR="00462E07" w:rsidRDefault="00462E07" w:rsidP="00462E07">
      <w:pPr>
        <w:ind w:firstLine="709"/>
        <w:jc w:val="both"/>
        <w:rPr>
          <w:rFonts w:ascii="Arial" w:hAnsi="Arial" w:cs="Arial"/>
          <w:sz w:val="26"/>
          <w:szCs w:val="26"/>
        </w:rPr>
      </w:pPr>
      <w:r>
        <w:rPr>
          <w:rFonts w:ascii="Arial" w:hAnsi="Arial" w:cs="Arial"/>
          <w:sz w:val="26"/>
          <w:szCs w:val="26"/>
        </w:rPr>
        <w:t>11. Погодження проєктних рішень щодо встановлення огорож на пам’ятках культурної спадщини, у межах їхніх територій та зон охорони.</w:t>
      </w:r>
    </w:p>
    <w:p w14:paraId="6E4A7B90" w14:textId="77777777" w:rsidR="00462E07" w:rsidRDefault="00462E07" w:rsidP="00462E07">
      <w:pPr>
        <w:ind w:firstLine="709"/>
        <w:jc w:val="both"/>
        <w:rPr>
          <w:rFonts w:ascii="Arial" w:hAnsi="Arial" w:cs="Arial"/>
          <w:sz w:val="26"/>
          <w:szCs w:val="26"/>
        </w:rPr>
      </w:pPr>
      <w:r>
        <w:rPr>
          <w:rFonts w:ascii="Arial" w:hAnsi="Arial" w:cs="Arial"/>
          <w:sz w:val="26"/>
          <w:szCs w:val="26"/>
        </w:rPr>
        <w:t>12. Підготовка висновків щодо відчуження або передачі пам’яток культурної спадщини у володіння, користування або управління.</w:t>
      </w:r>
    </w:p>
    <w:p w14:paraId="3A73367A" w14:textId="77777777" w:rsidR="00462E07" w:rsidRDefault="00462E07" w:rsidP="00462E07">
      <w:pPr>
        <w:ind w:firstLine="709"/>
        <w:jc w:val="both"/>
        <w:rPr>
          <w:rFonts w:ascii="Arial" w:hAnsi="Arial" w:cs="Arial"/>
          <w:sz w:val="26"/>
          <w:szCs w:val="26"/>
        </w:rPr>
      </w:pPr>
      <w:r>
        <w:rPr>
          <w:rFonts w:ascii="Arial" w:hAnsi="Arial" w:cs="Arial"/>
          <w:sz w:val="26"/>
          <w:szCs w:val="26"/>
        </w:rPr>
        <w:t>13. Підготовка висновків щодо визначення коефіцієнта культурної цінності об’єктів культурної спадщини.</w:t>
      </w:r>
    </w:p>
    <w:p w14:paraId="70FDC733" w14:textId="77777777" w:rsidR="00462E07" w:rsidRDefault="00462E07" w:rsidP="00462E07">
      <w:pPr>
        <w:ind w:firstLine="709"/>
        <w:jc w:val="both"/>
        <w:rPr>
          <w:rFonts w:ascii="Arial" w:hAnsi="Arial" w:cs="Arial"/>
          <w:sz w:val="26"/>
          <w:szCs w:val="26"/>
        </w:rPr>
      </w:pPr>
      <w:r>
        <w:rPr>
          <w:rFonts w:ascii="Arial" w:hAnsi="Arial" w:cs="Arial"/>
          <w:sz w:val="26"/>
          <w:szCs w:val="26"/>
        </w:rPr>
        <w:t>14. Організація та здійснення заходів щодо захисту об’єктів культурної спадщини від загрози знищення, руйнування або пошкодження.</w:t>
      </w:r>
    </w:p>
    <w:p w14:paraId="52CFEA69" w14:textId="77777777" w:rsidR="00462E07" w:rsidRDefault="00462E07" w:rsidP="00462E07">
      <w:pPr>
        <w:ind w:firstLine="709"/>
        <w:jc w:val="both"/>
        <w:rPr>
          <w:rFonts w:ascii="Arial" w:hAnsi="Arial" w:cs="Arial"/>
          <w:sz w:val="26"/>
          <w:szCs w:val="26"/>
        </w:rPr>
      </w:pPr>
      <w:r>
        <w:rPr>
          <w:rFonts w:ascii="Arial" w:hAnsi="Arial" w:cs="Arial"/>
          <w:sz w:val="26"/>
          <w:szCs w:val="26"/>
        </w:rPr>
        <w:t>15. Організація невідкладних охоронних заходів у разі виникнення загрози для об’єктів культурної спадщини.</w:t>
      </w:r>
    </w:p>
    <w:p w14:paraId="0D6093CA" w14:textId="77777777" w:rsidR="00462E07" w:rsidRDefault="00462E07" w:rsidP="00462E07">
      <w:pPr>
        <w:ind w:firstLine="709"/>
        <w:jc w:val="both"/>
        <w:rPr>
          <w:rFonts w:ascii="Arial" w:hAnsi="Arial" w:cs="Arial"/>
          <w:sz w:val="26"/>
          <w:szCs w:val="26"/>
        </w:rPr>
      </w:pPr>
      <w:r>
        <w:rPr>
          <w:rFonts w:ascii="Arial" w:hAnsi="Arial" w:cs="Arial"/>
          <w:sz w:val="26"/>
          <w:szCs w:val="26"/>
        </w:rPr>
        <w:lastRenderedPageBreak/>
        <w:t>16. Інформування органів охорони культурної спадщини вищого рівня про загрозу або факти пошкодження чи руйнування об’єктів культурної спадщини.</w:t>
      </w:r>
    </w:p>
    <w:p w14:paraId="4D127776" w14:textId="77777777" w:rsidR="00462E07" w:rsidRDefault="00462E07" w:rsidP="00462E07">
      <w:pPr>
        <w:ind w:firstLine="709"/>
        <w:jc w:val="both"/>
        <w:rPr>
          <w:rFonts w:ascii="Arial" w:hAnsi="Arial" w:cs="Arial"/>
          <w:sz w:val="26"/>
          <w:szCs w:val="26"/>
        </w:rPr>
      </w:pPr>
      <w:r>
        <w:rPr>
          <w:rFonts w:ascii="Arial" w:hAnsi="Arial" w:cs="Arial"/>
          <w:sz w:val="26"/>
          <w:szCs w:val="26"/>
        </w:rPr>
        <w:t>17. Забезпечення виготовлення, встановлення та утримання охоронних дощок, знаків та інших інформаційних позначень на об’єктах культурної спадщини або в межах їхніх територій.</w:t>
      </w:r>
    </w:p>
    <w:p w14:paraId="587DC3DB" w14:textId="77777777" w:rsidR="00462E07" w:rsidRDefault="00462E07" w:rsidP="00462E07">
      <w:pPr>
        <w:ind w:firstLine="709"/>
        <w:jc w:val="both"/>
        <w:rPr>
          <w:rFonts w:ascii="Arial" w:hAnsi="Arial" w:cs="Arial"/>
          <w:sz w:val="26"/>
          <w:szCs w:val="26"/>
        </w:rPr>
      </w:pPr>
      <w:r>
        <w:rPr>
          <w:rFonts w:ascii="Arial" w:hAnsi="Arial" w:cs="Arial"/>
          <w:sz w:val="26"/>
          <w:szCs w:val="26"/>
        </w:rPr>
        <w:t>18. Визначення місць та порядку зберігання об’єктів культурної спадщини, переміщених із територій, на яких ведуться (велися) бойові дії.</w:t>
      </w:r>
    </w:p>
    <w:p w14:paraId="6BCF882A" w14:textId="77777777" w:rsidR="00462E07" w:rsidRDefault="00462E07" w:rsidP="00462E07">
      <w:pPr>
        <w:ind w:firstLine="709"/>
        <w:jc w:val="both"/>
        <w:rPr>
          <w:rFonts w:ascii="Arial" w:hAnsi="Arial" w:cs="Arial"/>
          <w:sz w:val="26"/>
          <w:szCs w:val="26"/>
        </w:rPr>
      </w:pPr>
      <w:r>
        <w:rPr>
          <w:rFonts w:ascii="Arial" w:hAnsi="Arial" w:cs="Arial"/>
          <w:sz w:val="26"/>
          <w:szCs w:val="26"/>
        </w:rPr>
        <w:t>19. Організація розроблення та реалізація програм охорони культурної спадщини.</w:t>
      </w:r>
    </w:p>
    <w:p w14:paraId="13A7AAC5" w14:textId="77777777" w:rsidR="00462E07" w:rsidRDefault="00462E07" w:rsidP="00462E07">
      <w:pPr>
        <w:ind w:firstLine="709"/>
        <w:jc w:val="both"/>
        <w:rPr>
          <w:rFonts w:ascii="Arial" w:hAnsi="Arial" w:cs="Arial"/>
          <w:sz w:val="26"/>
          <w:szCs w:val="26"/>
        </w:rPr>
      </w:pPr>
      <w:r>
        <w:rPr>
          <w:rFonts w:ascii="Arial" w:hAnsi="Arial" w:cs="Arial"/>
          <w:sz w:val="26"/>
          <w:szCs w:val="26"/>
        </w:rPr>
        <w:t>20. Підготовка пропозицій до програм соціально-економічного розвитку та проєктів місцевого бюджету у частині охорони культурної спадщини.</w:t>
      </w:r>
    </w:p>
    <w:p w14:paraId="224F169E" w14:textId="77777777" w:rsidR="00462E07" w:rsidRDefault="00462E07" w:rsidP="00462E07">
      <w:pPr>
        <w:ind w:firstLine="709"/>
        <w:jc w:val="both"/>
        <w:rPr>
          <w:rFonts w:ascii="Arial" w:hAnsi="Arial" w:cs="Arial"/>
          <w:sz w:val="26"/>
          <w:szCs w:val="26"/>
        </w:rPr>
      </w:pPr>
      <w:r>
        <w:rPr>
          <w:rFonts w:ascii="Arial" w:hAnsi="Arial" w:cs="Arial"/>
          <w:sz w:val="26"/>
          <w:szCs w:val="26"/>
        </w:rPr>
        <w:t>21. Організація роботи комісій, дорадчих органів та рад, утворених при офісі.</w:t>
      </w:r>
    </w:p>
    <w:p w14:paraId="4F237713" w14:textId="77777777" w:rsidR="00462E07" w:rsidRDefault="00462E07" w:rsidP="00462E07">
      <w:pPr>
        <w:ind w:firstLine="709"/>
        <w:jc w:val="both"/>
        <w:rPr>
          <w:rFonts w:ascii="Arial" w:hAnsi="Arial" w:cs="Arial"/>
          <w:sz w:val="26"/>
          <w:szCs w:val="26"/>
        </w:rPr>
      </w:pPr>
      <w:r>
        <w:rPr>
          <w:rFonts w:ascii="Arial" w:hAnsi="Arial" w:cs="Arial"/>
          <w:sz w:val="26"/>
          <w:szCs w:val="26"/>
        </w:rPr>
        <w:t>22. Виконання функцій замовника робіт у сфері охорони культурної спадщини та укладення відповідних договорів.</w:t>
      </w:r>
    </w:p>
    <w:p w14:paraId="1E9BFF47" w14:textId="77777777" w:rsidR="00462E07" w:rsidRDefault="00462E07" w:rsidP="00462E07">
      <w:pPr>
        <w:ind w:firstLine="709"/>
        <w:jc w:val="both"/>
        <w:rPr>
          <w:rFonts w:ascii="Arial" w:hAnsi="Arial" w:cs="Arial"/>
          <w:sz w:val="26"/>
          <w:szCs w:val="26"/>
        </w:rPr>
      </w:pPr>
      <w:r>
        <w:rPr>
          <w:rFonts w:ascii="Arial" w:hAnsi="Arial" w:cs="Arial"/>
          <w:sz w:val="26"/>
          <w:szCs w:val="26"/>
        </w:rPr>
        <w:t>23. Укладення охоронних договорів щодо об’єктів культурної спадщини.</w:t>
      </w:r>
    </w:p>
    <w:p w14:paraId="619D056E" w14:textId="77777777" w:rsidR="00462E07" w:rsidRDefault="00462E07" w:rsidP="00462E07">
      <w:pPr>
        <w:ind w:firstLine="709"/>
        <w:jc w:val="both"/>
        <w:rPr>
          <w:rFonts w:ascii="Arial" w:hAnsi="Arial" w:cs="Arial"/>
          <w:sz w:val="26"/>
          <w:szCs w:val="26"/>
        </w:rPr>
      </w:pPr>
      <w:r>
        <w:rPr>
          <w:rFonts w:ascii="Arial" w:hAnsi="Arial" w:cs="Arial"/>
          <w:sz w:val="26"/>
          <w:szCs w:val="26"/>
        </w:rPr>
        <w:t>24. Підготовка пропозицій та проєктів рішень щодо проведення робіт з консервації, реставрації, реабілітації, музеєфікації, ремонту та пристосування об’єктів культурної спадщини.</w:t>
      </w:r>
    </w:p>
    <w:p w14:paraId="5FE64778" w14:textId="77777777" w:rsidR="00462E07" w:rsidRDefault="00462E07" w:rsidP="00462E07">
      <w:pPr>
        <w:ind w:firstLine="709"/>
        <w:jc w:val="both"/>
        <w:rPr>
          <w:rFonts w:ascii="Arial" w:hAnsi="Arial" w:cs="Arial"/>
          <w:sz w:val="26"/>
          <w:szCs w:val="26"/>
        </w:rPr>
      </w:pPr>
      <w:r>
        <w:rPr>
          <w:rFonts w:ascii="Arial" w:hAnsi="Arial" w:cs="Arial"/>
          <w:sz w:val="26"/>
          <w:szCs w:val="26"/>
        </w:rPr>
        <w:t>25. Забезпечення доступу фізичних та юридичних осіб до інформації з державних реєстрів у сфері охорони культурної спадщини.</w:t>
      </w:r>
    </w:p>
    <w:p w14:paraId="20509FC3" w14:textId="77777777" w:rsidR="00462E07" w:rsidRDefault="00462E07" w:rsidP="00462E07">
      <w:pPr>
        <w:ind w:firstLine="709"/>
        <w:jc w:val="both"/>
        <w:rPr>
          <w:rFonts w:ascii="Arial" w:hAnsi="Arial" w:cs="Arial"/>
          <w:sz w:val="26"/>
          <w:szCs w:val="26"/>
        </w:rPr>
      </w:pPr>
      <w:r>
        <w:rPr>
          <w:rFonts w:ascii="Arial" w:hAnsi="Arial" w:cs="Arial"/>
          <w:sz w:val="26"/>
          <w:szCs w:val="26"/>
        </w:rPr>
        <w:t>26. Надання інформації щодо програм та проєктів змін у зонах охорони пам’яток та історичних ареалах населених місць.</w:t>
      </w:r>
    </w:p>
    <w:p w14:paraId="500DB529" w14:textId="77777777" w:rsidR="00462E07" w:rsidRDefault="00462E07" w:rsidP="00462E07">
      <w:pPr>
        <w:ind w:firstLine="709"/>
        <w:jc w:val="both"/>
        <w:rPr>
          <w:rFonts w:ascii="Arial" w:hAnsi="Arial" w:cs="Arial"/>
          <w:sz w:val="26"/>
          <w:szCs w:val="26"/>
        </w:rPr>
      </w:pPr>
      <w:r>
        <w:rPr>
          <w:rFonts w:ascii="Arial" w:hAnsi="Arial" w:cs="Arial"/>
          <w:sz w:val="26"/>
          <w:szCs w:val="26"/>
        </w:rPr>
        <w:t>27. Популяризація охорони культурної спадщини, організацію науково-методичної, виставкової та видавничої діяльності у цій сфері.</w:t>
      </w:r>
    </w:p>
    <w:p w14:paraId="38EBBE03" w14:textId="77777777" w:rsidR="00462E07" w:rsidRDefault="00462E07" w:rsidP="00462E07">
      <w:pPr>
        <w:ind w:firstLine="709"/>
        <w:jc w:val="both"/>
        <w:rPr>
          <w:rFonts w:ascii="Arial" w:hAnsi="Arial" w:cs="Arial"/>
          <w:sz w:val="26"/>
          <w:szCs w:val="26"/>
        </w:rPr>
      </w:pPr>
      <w:r>
        <w:rPr>
          <w:rFonts w:ascii="Arial" w:hAnsi="Arial" w:cs="Arial"/>
          <w:sz w:val="26"/>
          <w:szCs w:val="26"/>
        </w:rPr>
        <w:t>28. Організацію проведення досліджень об’єктів культурної спадщини, зокрема тих, що потребують рятівних робіт.</w:t>
      </w:r>
    </w:p>
    <w:p w14:paraId="46E543F1" w14:textId="77777777" w:rsidR="00462E07" w:rsidRDefault="00462E07" w:rsidP="00462E07">
      <w:pPr>
        <w:ind w:firstLine="709"/>
        <w:jc w:val="both"/>
        <w:rPr>
          <w:rFonts w:ascii="Arial" w:hAnsi="Arial" w:cs="Arial"/>
          <w:sz w:val="26"/>
          <w:szCs w:val="26"/>
        </w:rPr>
      </w:pPr>
      <w:r>
        <w:rPr>
          <w:rFonts w:ascii="Arial" w:hAnsi="Arial" w:cs="Arial"/>
          <w:sz w:val="26"/>
          <w:szCs w:val="26"/>
        </w:rPr>
        <w:t>29. Участь в організації підготовки, перепідготовки та підвищення кваліфікації фахівців у сфері охорони культурної спадщини.</w:t>
      </w:r>
    </w:p>
    <w:p w14:paraId="646C5FFF" w14:textId="77777777" w:rsidR="00462E07" w:rsidRDefault="00462E07" w:rsidP="00462E07">
      <w:pPr>
        <w:ind w:firstLine="709"/>
        <w:jc w:val="both"/>
        <w:rPr>
          <w:rFonts w:ascii="Arial" w:hAnsi="Arial" w:cs="Arial"/>
          <w:sz w:val="26"/>
          <w:szCs w:val="26"/>
        </w:rPr>
      </w:pPr>
      <w:r>
        <w:rPr>
          <w:rFonts w:ascii="Arial" w:hAnsi="Arial" w:cs="Arial"/>
          <w:sz w:val="26"/>
          <w:szCs w:val="26"/>
        </w:rPr>
        <w:t>30. Представництво інтересів органу місцевого самоврядування у судах та інших органах під час розгляду правових питань і спорів (самопредставництво).</w:t>
      </w:r>
    </w:p>
    <w:p w14:paraId="2CABA59C" w14:textId="77777777" w:rsidR="00462E07" w:rsidRDefault="00462E07" w:rsidP="00462E07">
      <w:pPr>
        <w:ind w:firstLine="708"/>
        <w:jc w:val="both"/>
        <w:rPr>
          <w:rFonts w:ascii="Arial" w:hAnsi="Arial" w:cs="Arial"/>
          <w:sz w:val="26"/>
          <w:szCs w:val="26"/>
        </w:rPr>
      </w:pPr>
      <w:r>
        <w:rPr>
          <w:rFonts w:ascii="Arial" w:hAnsi="Arial" w:cs="Arial"/>
          <w:sz w:val="26"/>
          <w:szCs w:val="26"/>
        </w:rPr>
        <w:t>31.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14:paraId="4FFD21B2" w14:textId="77777777" w:rsidR="00462E07" w:rsidRDefault="00462E07" w:rsidP="00462E07">
      <w:pPr>
        <w:jc w:val="both"/>
      </w:pPr>
    </w:p>
    <w:p w14:paraId="3D028334" w14:textId="77777777" w:rsidR="00462E07" w:rsidRDefault="00462E07" w:rsidP="00462E07">
      <w:pPr>
        <w:jc w:val="both"/>
      </w:pPr>
    </w:p>
    <w:p w14:paraId="24703E0E" w14:textId="77777777" w:rsidR="00462E07" w:rsidRDefault="00462E07" w:rsidP="00462E07">
      <w:pPr>
        <w:jc w:val="both"/>
      </w:pPr>
    </w:p>
    <w:p w14:paraId="0109629A" w14:textId="77777777" w:rsidR="00462E07" w:rsidRDefault="00462E07" w:rsidP="00462E07">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14:paraId="6018544F" w14:textId="77777777" w:rsidR="00462E07" w:rsidRDefault="00462E07" w:rsidP="00462E07">
      <w:pPr>
        <w:jc w:val="both"/>
        <w:rPr>
          <w:rFonts w:ascii="Arial" w:hAnsi="Arial" w:cs="Arial"/>
          <w:sz w:val="26"/>
          <w:szCs w:val="26"/>
        </w:rPr>
      </w:pPr>
    </w:p>
    <w:p w14:paraId="2067348B" w14:textId="5955BD97" w:rsidR="00462E07" w:rsidRDefault="00462E07" w:rsidP="00462E07">
      <w:pPr>
        <w:jc w:val="both"/>
        <w:rPr>
          <w:rFonts w:ascii="Arial" w:hAnsi="Arial" w:cs="Arial"/>
          <w:sz w:val="26"/>
          <w:szCs w:val="26"/>
        </w:rPr>
      </w:pPr>
      <w:r>
        <w:rPr>
          <w:rFonts w:ascii="Arial" w:hAnsi="Arial" w:cs="Arial"/>
          <w:sz w:val="26"/>
          <w:szCs w:val="26"/>
        </w:rPr>
        <w:tab/>
        <w:t>Віз</w:t>
      </w:r>
      <w:r w:rsidR="004630A3">
        <w:rPr>
          <w:rFonts w:ascii="Arial" w:hAnsi="Arial" w:cs="Arial"/>
          <w:sz w:val="26"/>
          <w:szCs w:val="26"/>
        </w:rPr>
        <w:t>и</w:t>
      </w:r>
      <w:r>
        <w:rPr>
          <w:rFonts w:ascii="Arial" w:hAnsi="Arial" w:cs="Arial"/>
          <w:sz w:val="26"/>
          <w:szCs w:val="26"/>
        </w:rPr>
        <w:t>:</w:t>
      </w:r>
    </w:p>
    <w:p w14:paraId="32576F45" w14:textId="77777777" w:rsidR="00462E07" w:rsidRDefault="00462E07" w:rsidP="00462E07">
      <w:pPr>
        <w:jc w:val="both"/>
        <w:rPr>
          <w:rFonts w:ascii="Arial" w:hAnsi="Arial" w:cs="Arial"/>
          <w:sz w:val="26"/>
          <w:szCs w:val="26"/>
        </w:rPr>
      </w:pPr>
    </w:p>
    <w:p w14:paraId="5F547B70" w14:textId="77777777" w:rsidR="00462E07" w:rsidRDefault="00462E07" w:rsidP="00462E07">
      <w:pPr>
        <w:jc w:val="both"/>
        <w:rPr>
          <w:rFonts w:ascii="Arial" w:hAnsi="Arial" w:cs="Arial"/>
          <w:sz w:val="26"/>
          <w:szCs w:val="26"/>
        </w:rPr>
      </w:pPr>
      <w:r>
        <w:rPr>
          <w:rFonts w:ascii="Arial" w:hAnsi="Arial" w:cs="Arial"/>
          <w:sz w:val="26"/>
          <w:szCs w:val="26"/>
        </w:rPr>
        <w:t>Директор юридичного</w:t>
      </w:r>
    </w:p>
    <w:p w14:paraId="47105B91" w14:textId="7010DC12" w:rsidR="009C0F59" w:rsidRDefault="00462E07" w:rsidP="00462E07">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p>
    <w:p w14:paraId="51D79F0A" w14:textId="2E50D30A" w:rsidR="004630A3" w:rsidRDefault="004630A3" w:rsidP="00462E07">
      <w:pPr>
        <w:jc w:val="both"/>
        <w:rPr>
          <w:rFonts w:ascii="Arial" w:hAnsi="Arial" w:cs="Arial"/>
          <w:sz w:val="26"/>
          <w:szCs w:val="26"/>
        </w:rPr>
      </w:pPr>
    </w:p>
    <w:p w14:paraId="6DBD01D1" w14:textId="55792E82" w:rsidR="004630A3" w:rsidRDefault="004630A3" w:rsidP="00462E07">
      <w:pPr>
        <w:jc w:val="both"/>
        <w:rPr>
          <w:rFonts w:ascii="Arial" w:hAnsi="Arial" w:cs="Arial"/>
          <w:sz w:val="26"/>
          <w:szCs w:val="26"/>
        </w:rPr>
      </w:pPr>
    </w:p>
    <w:p w14:paraId="24FA1C27" w14:textId="7DB5111E" w:rsidR="004630A3" w:rsidRPr="00462E07" w:rsidRDefault="004630A3" w:rsidP="00462E07">
      <w:pPr>
        <w:jc w:val="both"/>
      </w:pPr>
      <w:r>
        <w:rPr>
          <w:rFonts w:ascii="Arial" w:hAnsi="Arial" w:cs="Arial"/>
          <w:sz w:val="26"/>
          <w:szCs w:val="26"/>
        </w:rPr>
        <w:t>Член редакційної комісії</w:t>
      </w:r>
    </w:p>
    <w:sectPr w:rsidR="004630A3" w:rsidRPr="00462E07" w:rsidSect="000B4893">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4214" w14:textId="77777777" w:rsidR="002E7461" w:rsidRDefault="002E7461">
      <w:r>
        <w:separator/>
      </w:r>
    </w:p>
  </w:endnote>
  <w:endnote w:type="continuationSeparator" w:id="0">
    <w:p w14:paraId="1AA400DD" w14:textId="77777777" w:rsidR="002E7461" w:rsidRDefault="002E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0166" w14:textId="77777777" w:rsidR="002E7461" w:rsidRDefault="002E7461">
      <w:r>
        <w:separator/>
      </w:r>
    </w:p>
  </w:footnote>
  <w:footnote w:type="continuationSeparator" w:id="0">
    <w:p w14:paraId="739027A2" w14:textId="77777777" w:rsidR="002E7461" w:rsidRDefault="002E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6DC07707" w14:textId="73EC6E6B" w:rsidR="00E06814" w:rsidRDefault="00E06814">
        <w:pPr>
          <w:pStyle w:val="a5"/>
          <w:jc w:val="center"/>
        </w:pPr>
        <w:r>
          <w:fldChar w:fldCharType="begin"/>
        </w:r>
        <w:r>
          <w:instrText>PAGE   \* MERGEFORMAT</w:instrText>
        </w:r>
        <w:r>
          <w:fldChar w:fldCharType="separate"/>
        </w:r>
        <w:r w:rsidR="00F90345">
          <w:rPr>
            <w:noProof/>
          </w:rPr>
          <w:t>1</w:t>
        </w:r>
        <w:r>
          <w:fldChar w:fldCharType="end"/>
        </w:r>
      </w:p>
    </w:sdtContent>
  </w:sdt>
  <w:p w14:paraId="0BA34161" w14:textId="77777777" w:rsidR="00E06814" w:rsidRDefault="00E068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7"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18"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0"/>
  </w:num>
  <w:num w:numId="2">
    <w:abstractNumId w:val="13"/>
  </w:num>
  <w:num w:numId="3">
    <w:abstractNumId w:val="15"/>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4B62"/>
    <w:rsid w:val="00165D57"/>
    <w:rsid w:val="0016727B"/>
    <w:rsid w:val="00173330"/>
    <w:rsid w:val="00173C50"/>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17FE"/>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E46D3"/>
    <w:rsid w:val="002E7461"/>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0771"/>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62E07"/>
    <w:rsid w:val="004630A3"/>
    <w:rsid w:val="00480A73"/>
    <w:rsid w:val="00480C2D"/>
    <w:rsid w:val="0049184C"/>
    <w:rsid w:val="0049290F"/>
    <w:rsid w:val="00493616"/>
    <w:rsid w:val="004956B3"/>
    <w:rsid w:val="004A0978"/>
    <w:rsid w:val="004A32A1"/>
    <w:rsid w:val="004A60E1"/>
    <w:rsid w:val="004A72E3"/>
    <w:rsid w:val="004B4B1D"/>
    <w:rsid w:val="004B5305"/>
    <w:rsid w:val="004B7E72"/>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63885"/>
    <w:rsid w:val="00581213"/>
    <w:rsid w:val="005963E6"/>
    <w:rsid w:val="005A76F8"/>
    <w:rsid w:val="005A77D2"/>
    <w:rsid w:val="005B1A89"/>
    <w:rsid w:val="005B2385"/>
    <w:rsid w:val="005B6AD9"/>
    <w:rsid w:val="005B7757"/>
    <w:rsid w:val="005C0F38"/>
    <w:rsid w:val="005D0F50"/>
    <w:rsid w:val="005E2A59"/>
    <w:rsid w:val="0062338C"/>
    <w:rsid w:val="0063194D"/>
    <w:rsid w:val="00631F26"/>
    <w:rsid w:val="00631FAF"/>
    <w:rsid w:val="00632396"/>
    <w:rsid w:val="006336EF"/>
    <w:rsid w:val="00634A05"/>
    <w:rsid w:val="00644B0C"/>
    <w:rsid w:val="00650AD1"/>
    <w:rsid w:val="0065377A"/>
    <w:rsid w:val="00655ACA"/>
    <w:rsid w:val="00661945"/>
    <w:rsid w:val="0066517C"/>
    <w:rsid w:val="006778A9"/>
    <w:rsid w:val="00680634"/>
    <w:rsid w:val="00681373"/>
    <w:rsid w:val="006813E5"/>
    <w:rsid w:val="0068308A"/>
    <w:rsid w:val="00684CE6"/>
    <w:rsid w:val="00695C6C"/>
    <w:rsid w:val="006B05A4"/>
    <w:rsid w:val="006B2C75"/>
    <w:rsid w:val="006B53A4"/>
    <w:rsid w:val="006D5F5F"/>
    <w:rsid w:val="006D639C"/>
    <w:rsid w:val="006E03A1"/>
    <w:rsid w:val="006E645D"/>
    <w:rsid w:val="006E7CF8"/>
    <w:rsid w:val="006F07EA"/>
    <w:rsid w:val="006F3504"/>
    <w:rsid w:val="006F3CE3"/>
    <w:rsid w:val="006F7399"/>
    <w:rsid w:val="00705A25"/>
    <w:rsid w:val="00705DF2"/>
    <w:rsid w:val="00706B9D"/>
    <w:rsid w:val="00706E31"/>
    <w:rsid w:val="007170F3"/>
    <w:rsid w:val="007233FE"/>
    <w:rsid w:val="00730F94"/>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5BD8"/>
    <w:rsid w:val="007870B1"/>
    <w:rsid w:val="007876B3"/>
    <w:rsid w:val="007A08C6"/>
    <w:rsid w:val="007A0AC1"/>
    <w:rsid w:val="007A1C19"/>
    <w:rsid w:val="007A44A0"/>
    <w:rsid w:val="007B7308"/>
    <w:rsid w:val="007C2729"/>
    <w:rsid w:val="007C3A57"/>
    <w:rsid w:val="007C4332"/>
    <w:rsid w:val="007C49C3"/>
    <w:rsid w:val="007D4530"/>
    <w:rsid w:val="007E0F28"/>
    <w:rsid w:val="007E0FF8"/>
    <w:rsid w:val="007E1BF0"/>
    <w:rsid w:val="007E3B97"/>
    <w:rsid w:val="007E6281"/>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97431"/>
    <w:rsid w:val="00997DA1"/>
    <w:rsid w:val="009A0975"/>
    <w:rsid w:val="009B52F8"/>
    <w:rsid w:val="009B5EFE"/>
    <w:rsid w:val="009C0F59"/>
    <w:rsid w:val="009C1C1F"/>
    <w:rsid w:val="009D648C"/>
    <w:rsid w:val="009E5E24"/>
    <w:rsid w:val="009E77B9"/>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4BC0"/>
    <w:rsid w:val="00A45BB1"/>
    <w:rsid w:val="00A471DA"/>
    <w:rsid w:val="00A56A68"/>
    <w:rsid w:val="00A57224"/>
    <w:rsid w:val="00A66743"/>
    <w:rsid w:val="00A66B76"/>
    <w:rsid w:val="00A72160"/>
    <w:rsid w:val="00A73CCD"/>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62DFB"/>
    <w:rsid w:val="00B72E24"/>
    <w:rsid w:val="00B91F7E"/>
    <w:rsid w:val="00B94300"/>
    <w:rsid w:val="00BA14E2"/>
    <w:rsid w:val="00BB550D"/>
    <w:rsid w:val="00BC29CD"/>
    <w:rsid w:val="00BC3E0E"/>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4FCA"/>
    <w:rsid w:val="00D66577"/>
    <w:rsid w:val="00D754C9"/>
    <w:rsid w:val="00D76E69"/>
    <w:rsid w:val="00D84658"/>
    <w:rsid w:val="00D87B18"/>
    <w:rsid w:val="00DA2D0F"/>
    <w:rsid w:val="00DA654C"/>
    <w:rsid w:val="00DD56FC"/>
    <w:rsid w:val="00DE2E79"/>
    <w:rsid w:val="00DE4148"/>
    <w:rsid w:val="00DF21A9"/>
    <w:rsid w:val="00DF3046"/>
    <w:rsid w:val="00DF52F3"/>
    <w:rsid w:val="00E06814"/>
    <w:rsid w:val="00E06897"/>
    <w:rsid w:val="00E0726A"/>
    <w:rsid w:val="00E10C3D"/>
    <w:rsid w:val="00E12477"/>
    <w:rsid w:val="00E14119"/>
    <w:rsid w:val="00E307F8"/>
    <w:rsid w:val="00E30EF0"/>
    <w:rsid w:val="00E34AF9"/>
    <w:rsid w:val="00E37E6C"/>
    <w:rsid w:val="00E40738"/>
    <w:rsid w:val="00E610EE"/>
    <w:rsid w:val="00E673CA"/>
    <w:rsid w:val="00E701F6"/>
    <w:rsid w:val="00E70B61"/>
    <w:rsid w:val="00E85106"/>
    <w:rsid w:val="00E87092"/>
    <w:rsid w:val="00E94201"/>
    <w:rsid w:val="00E9700B"/>
    <w:rsid w:val="00EA422B"/>
    <w:rsid w:val="00EA615C"/>
    <w:rsid w:val="00EA63F6"/>
    <w:rsid w:val="00EA7F34"/>
    <w:rsid w:val="00EC17AE"/>
    <w:rsid w:val="00ED0942"/>
    <w:rsid w:val="00ED41A6"/>
    <w:rsid w:val="00ED4470"/>
    <w:rsid w:val="00EE458A"/>
    <w:rsid w:val="00EF5ED3"/>
    <w:rsid w:val="00F04101"/>
    <w:rsid w:val="00F1066F"/>
    <w:rsid w:val="00F10B48"/>
    <w:rsid w:val="00F149D9"/>
    <w:rsid w:val="00F155D4"/>
    <w:rsid w:val="00F15850"/>
    <w:rsid w:val="00F21F0C"/>
    <w:rsid w:val="00F2385B"/>
    <w:rsid w:val="00F26A88"/>
    <w:rsid w:val="00F33684"/>
    <w:rsid w:val="00F5114A"/>
    <w:rsid w:val="00F51CB8"/>
    <w:rsid w:val="00F56090"/>
    <w:rsid w:val="00F56FB4"/>
    <w:rsid w:val="00F642CD"/>
    <w:rsid w:val="00F65A2F"/>
    <w:rsid w:val="00F6619F"/>
    <w:rsid w:val="00F71DB1"/>
    <w:rsid w:val="00F847B7"/>
    <w:rsid w:val="00F85CB0"/>
    <w:rsid w:val="00F90345"/>
    <w:rsid w:val="00F90CE6"/>
    <w:rsid w:val="00F90D89"/>
    <w:rsid w:val="00F921D5"/>
    <w:rsid w:val="00F93AE0"/>
    <w:rsid w:val="00F94138"/>
    <w:rsid w:val="00F94D45"/>
    <w:rsid w:val="00FA10A0"/>
    <w:rsid w:val="00FA2242"/>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0D8AC"/>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 w:type="paragraph" w:customStyle="1" w:styleId="Default">
    <w:name w:val="Default"/>
    <w:rsid w:val="009C0F5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091198325">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31482482">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DDEA-F314-480D-9556-4694EB90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4017</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cp:revision>
  <cp:lastPrinted>2026-05-04T12:19:00Z</cp:lastPrinted>
  <dcterms:created xsi:type="dcterms:W3CDTF">2026-05-11T13:10:00Z</dcterms:created>
  <dcterms:modified xsi:type="dcterms:W3CDTF">2026-05-11T13:10:00Z</dcterms:modified>
</cp:coreProperties>
</file>