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B3688D" w:rsidRDefault="00F847B7" w:rsidP="00634A05">
      <w:pPr>
        <w:ind w:left="6372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B3688D">
        <w:rPr>
          <w:rFonts w:ascii="Arial" w:hAnsi="Arial" w:cs="Arial"/>
          <w:sz w:val="26"/>
          <w:szCs w:val="26"/>
        </w:rPr>
        <w:t>Додаток</w:t>
      </w:r>
      <w:r w:rsidR="006E30BC" w:rsidRPr="00B3688D">
        <w:rPr>
          <w:rFonts w:ascii="Arial" w:hAnsi="Arial" w:cs="Arial"/>
          <w:sz w:val="26"/>
          <w:szCs w:val="26"/>
        </w:rPr>
        <w:t xml:space="preserve"> 2</w:t>
      </w:r>
      <w:r w:rsidRPr="00B3688D">
        <w:rPr>
          <w:rFonts w:ascii="Arial" w:hAnsi="Arial" w:cs="Arial"/>
          <w:sz w:val="26"/>
          <w:szCs w:val="26"/>
        </w:rPr>
        <w:t xml:space="preserve"> </w:t>
      </w:r>
    </w:p>
    <w:p w:rsidR="00F847B7" w:rsidRPr="00B3688D" w:rsidRDefault="006E30BC" w:rsidP="00634A05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 xml:space="preserve">до </w:t>
      </w:r>
      <w:r w:rsidR="00F847B7" w:rsidRPr="00B3688D">
        <w:rPr>
          <w:rFonts w:ascii="Arial" w:hAnsi="Arial" w:cs="Arial"/>
          <w:sz w:val="26"/>
          <w:szCs w:val="26"/>
        </w:rPr>
        <w:t>ухвал</w:t>
      </w:r>
      <w:r w:rsidRPr="00B3688D">
        <w:rPr>
          <w:rFonts w:ascii="Arial" w:hAnsi="Arial" w:cs="Arial"/>
          <w:sz w:val="26"/>
          <w:szCs w:val="26"/>
        </w:rPr>
        <w:t>и</w:t>
      </w:r>
      <w:r w:rsidR="00F847B7" w:rsidRPr="00B3688D">
        <w:rPr>
          <w:rFonts w:ascii="Arial" w:hAnsi="Arial" w:cs="Arial"/>
          <w:sz w:val="26"/>
          <w:szCs w:val="26"/>
        </w:rPr>
        <w:t xml:space="preserve">  міської  ради</w:t>
      </w:r>
    </w:p>
    <w:p w:rsidR="00F847B7" w:rsidRPr="00B3688D" w:rsidRDefault="00F847B7" w:rsidP="00634A05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від ___________№____</w:t>
      </w:r>
    </w:p>
    <w:p w:rsidR="00232703" w:rsidRPr="00B3688D" w:rsidRDefault="00232703" w:rsidP="00634A05">
      <w:pPr>
        <w:jc w:val="center"/>
        <w:rPr>
          <w:rFonts w:ascii="Arial" w:hAnsi="Arial" w:cs="Arial"/>
          <w:sz w:val="26"/>
          <w:szCs w:val="26"/>
        </w:rPr>
      </w:pPr>
    </w:p>
    <w:p w:rsidR="006E30BC" w:rsidRPr="00B3688D" w:rsidRDefault="006E30BC" w:rsidP="006E30BC">
      <w:pPr>
        <w:rPr>
          <w:rFonts w:ascii="Arial" w:hAnsi="Arial" w:cs="Arial"/>
          <w:sz w:val="26"/>
          <w:szCs w:val="26"/>
        </w:rPr>
      </w:pPr>
    </w:p>
    <w:p w:rsidR="006E30BC" w:rsidRPr="00B3688D" w:rsidRDefault="006E30BC" w:rsidP="006E30BC">
      <w:pPr>
        <w:jc w:val="center"/>
        <w:rPr>
          <w:rFonts w:ascii="Arial" w:hAnsi="Arial" w:cs="Arial"/>
          <w:b/>
          <w:sz w:val="26"/>
          <w:szCs w:val="26"/>
        </w:rPr>
      </w:pPr>
      <w:r w:rsidRPr="00B3688D">
        <w:rPr>
          <w:rFonts w:ascii="Arial" w:hAnsi="Arial" w:cs="Arial"/>
          <w:b/>
          <w:sz w:val="26"/>
          <w:szCs w:val="26"/>
        </w:rPr>
        <w:t>2.3. Повноваження управління державного контролю за використанням та охороною земель департаменту містобудування</w:t>
      </w:r>
    </w:p>
    <w:p w:rsidR="006E30BC" w:rsidRPr="00B3688D" w:rsidRDefault="006E30BC" w:rsidP="006E30BC">
      <w:pPr>
        <w:jc w:val="both"/>
        <w:rPr>
          <w:rFonts w:ascii="Arial" w:hAnsi="Arial" w:cs="Arial"/>
          <w:sz w:val="26"/>
          <w:szCs w:val="26"/>
        </w:rPr>
      </w:pP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1. Здійснення державного контролю за використанням та охороною земель, а саме за: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1.1. Виконанням власниками і користувачами земель комплексу необхідних заходів із захисту земель від заростання бур’янами, чагарниками.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1.2. Дотриманням режиму експлуатації протиерозійних, гідротехнічних споруд, а також вимог законодавства України щодо збереження захисних насаджень і межових знаків.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 xml:space="preserve">1.3. Виконанням землевласниками та землекористувачами вимог щодо використання земель за цільовим призначенням, розміщенням, проектуванням, будівництвом, введенням в дію об’єктів, що негативно впливають на стан земель, експлуатацією, збереженням протиерозійних гідротехнічних споруд, захисних лісонасаджень. 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2. Внесення до органів виконавчої влади або Львівської міської ради клопотання щодо: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2.1. Приведення у відповідність із законодавством України прийнятих рішень з питань регулювання земельних відносин, використання та охорони земель.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2.2. Припинення будівництва та експлуатації об'єктів у разі порушення вимог земельного законодавства України до повного усунення виявлених порушень і ліквідації їх наслідків.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2.3. Припинення права користування земельною ділянкою відповідно до законодавства України.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3. Розгляд справ про адміністративні правопорушення, передбачені ч. 2 ст. 52, ст. ст. 53, 53-1, 54, ч. 1 ст. 56, ст. 188-56, та накладення адміністративних стягнень.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4. Підготовка матеріалів для передачі їх у юридичний департамент для вирішення питання щодо звернення до суду з позовом про: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 xml:space="preserve">4.1. Розірвання договору оренди, емфітевзису, </w:t>
      </w:r>
      <w:proofErr w:type="spellStart"/>
      <w:r w:rsidRPr="00B3688D">
        <w:rPr>
          <w:rFonts w:ascii="Arial" w:hAnsi="Arial" w:cs="Arial"/>
          <w:sz w:val="26"/>
          <w:szCs w:val="26"/>
        </w:rPr>
        <w:t>суперфіцію</w:t>
      </w:r>
      <w:proofErr w:type="spellEnd"/>
      <w:r w:rsidRPr="00B3688D">
        <w:rPr>
          <w:rFonts w:ascii="Arial" w:hAnsi="Arial" w:cs="Arial"/>
          <w:sz w:val="26"/>
          <w:szCs w:val="26"/>
        </w:rPr>
        <w:t xml:space="preserve"> земельної ділянки або договору про встановлення земельного сервітуту.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4.2. Припинення права постійного користування земельною ділянкою.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 xml:space="preserve">4.3. Відшкодування втрат сільськогосподарського і лісогосподарського виробництва, повернення самовільно чи тимчасово зайнятих земельних ділянок, строк користування якими закінчився. 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5. Підготовка матеріалів для передачі їх у відділ правового забезпечення департаменту містобудування для вирішення питання щодо звернення до суду з позовом про відшкодування шкоди, заподіяної внаслідок самовільного зайняття земельних ділянок, використання земельних ділянок не за цільовим призначенням.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lastRenderedPageBreak/>
        <w:t>6. Вжиття відповідно до законодавства України заходів щодо повернення самовільно зайнятих земельних ділянок їх власникам або користувачам.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7. Здійснення заходів державного нагляду (контролю) відповідно до законодавства України.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8. Визначення переліку суб’єктів господарювання, які підлягають плановим заходам державного нагляду (контролю) у плановому періоді, відповідно до критеріїв,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9. Здійснення планових заходів державного нагляду (контролю) відповідно до річних планів проведення заходів державного нагляду (контролю) на відповідний плановий період та планів проведення комплексних заходів державного нагляду (контролю).</w:t>
      </w:r>
    </w:p>
    <w:p w:rsidR="006E30BC" w:rsidRPr="00B3688D" w:rsidRDefault="006E30BC" w:rsidP="006E30B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10. Контроль за створенням водоохоронних зон і прибережних захисних смуг, а також за додержанням режиму використання їх територій.</w:t>
      </w:r>
    </w:p>
    <w:p w:rsidR="00CD46FB" w:rsidRPr="00B3688D" w:rsidRDefault="00CD46FB" w:rsidP="00CD46F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11. Спільно з департаментом житлового господарства та інфраструктури здійснення інвентаризації та обліку земельних ділянок зайнятих інженерними мережами.</w:t>
      </w:r>
    </w:p>
    <w:p w:rsidR="00CD46FB" w:rsidRPr="00B3688D" w:rsidRDefault="00CD46FB" w:rsidP="00CD46F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12. Спільно з іншими виконавчими органами  аналіз своєчасності та повноти сплати орендної плати за використання земельних ділянок, зайнятих інженерними мережами.</w:t>
      </w:r>
    </w:p>
    <w:p w:rsidR="00F1066F" w:rsidRPr="00B3688D" w:rsidRDefault="00F1066F" w:rsidP="006E30BC">
      <w:pPr>
        <w:jc w:val="both"/>
        <w:rPr>
          <w:rFonts w:ascii="Arial" w:hAnsi="Arial" w:cs="Arial"/>
          <w:sz w:val="26"/>
          <w:szCs w:val="26"/>
        </w:rPr>
      </w:pPr>
    </w:p>
    <w:p w:rsidR="00F1066F" w:rsidRPr="00B3688D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p w:rsidR="006E30BC" w:rsidRPr="00B3688D" w:rsidRDefault="006E30BC" w:rsidP="006E30BC">
      <w:pPr>
        <w:rPr>
          <w:rFonts w:ascii="Arial" w:hAnsi="Arial" w:cs="Arial"/>
          <w:sz w:val="26"/>
          <w:szCs w:val="26"/>
        </w:rPr>
      </w:pPr>
    </w:p>
    <w:p w:rsidR="00377E4C" w:rsidRPr="00B3688D" w:rsidRDefault="00F1066F" w:rsidP="006E30BC">
      <w:pPr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Секретар ради</w:t>
      </w:r>
      <w:r w:rsidRPr="00B3688D">
        <w:rPr>
          <w:rFonts w:ascii="Arial" w:hAnsi="Arial" w:cs="Arial"/>
          <w:sz w:val="26"/>
          <w:szCs w:val="26"/>
        </w:rPr>
        <w:tab/>
      </w:r>
      <w:r w:rsidRPr="00B3688D">
        <w:rPr>
          <w:rFonts w:ascii="Arial" w:hAnsi="Arial" w:cs="Arial"/>
          <w:sz w:val="26"/>
          <w:szCs w:val="26"/>
        </w:rPr>
        <w:tab/>
      </w:r>
      <w:r w:rsidRPr="00B3688D">
        <w:rPr>
          <w:rFonts w:ascii="Arial" w:hAnsi="Arial" w:cs="Arial"/>
          <w:sz w:val="26"/>
          <w:szCs w:val="26"/>
        </w:rPr>
        <w:tab/>
      </w:r>
      <w:r w:rsidRPr="00B3688D">
        <w:rPr>
          <w:rFonts w:ascii="Arial" w:hAnsi="Arial" w:cs="Arial"/>
          <w:sz w:val="26"/>
          <w:szCs w:val="26"/>
        </w:rPr>
        <w:tab/>
      </w:r>
      <w:r w:rsidRPr="00B3688D">
        <w:rPr>
          <w:rFonts w:ascii="Arial" w:hAnsi="Arial" w:cs="Arial"/>
          <w:sz w:val="26"/>
          <w:szCs w:val="26"/>
        </w:rPr>
        <w:tab/>
      </w:r>
      <w:r w:rsidRPr="00B3688D">
        <w:rPr>
          <w:rFonts w:ascii="Arial" w:hAnsi="Arial" w:cs="Arial"/>
          <w:sz w:val="26"/>
          <w:szCs w:val="26"/>
        </w:rPr>
        <w:tab/>
      </w:r>
      <w:r w:rsidRPr="00B3688D">
        <w:rPr>
          <w:rFonts w:ascii="Arial" w:hAnsi="Arial" w:cs="Arial"/>
          <w:sz w:val="26"/>
          <w:szCs w:val="26"/>
        </w:rPr>
        <w:tab/>
        <w:t>Маркіян ЛОПАЧАК</w:t>
      </w:r>
    </w:p>
    <w:p w:rsidR="006E30BC" w:rsidRPr="00B3688D" w:rsidRDefault="006E30BC" w:rsidP="006E30BC">
      <w:pPr>
        <w:rPr>
          <w:rFonts w:ascii="Arial" w:hAnsi="Arial" w:cs="Arial"/>
          <w:sz w:val="26"/>
          <w:szCs w:val="26"/>
        </w:rPr>
      </w:pPr>
    </w:p>
    <w:p w:rsidR="006E30BC" w:rsidRPr="00B3688D" w:rsidRDefault="006E30BC" w:rsidP="006E30BC">
      <w:pPr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Віз</w:t>
      </w:r>
      <w:r w:rsidR="00CD46FB" w:rsidRPr="00B3688D">
        <w:rPr>
          <w:rFonts w:ascii="Arial" w:hAnsi="Arial" w:cs="Arial"/>
          <w:sz w:val="26"/>
          <w:szCs w:val="26"/>
        </w:rPr>
        <w:t>и</w:t>
      </w:r>
      <w:r w:rsidRPr="00B3688D">
        <w:rPr>
          <w:rFonts w:ascii="Arial" w:hAnsi="Arial" w:cs="Arial"/>
          <w:sz w:val="26"/>
          <w:szCs w:val="26"/>
        </w:rPr>
        <w:t>:</w:t>
      </w:r>
    </w:p>
    <w:p w:rsidR="006E30BC" w:rsidRPr="00B3688D" w:rsidRDefault="006E30BC" w:rsidP="006E30BC">
      <w:pPr>
        <w:rPr>
          <w:rFonts w:ascii="Arial" w:hAnsi="Arial" w:cs="Arial"/>
          <w:sz w:val="26"/>
          <w:szCs w:val="26"/>
        </w:rPr>
      </w:pPr>
    </w:p>
    <w:p w:rsidR="006E30BC" w:rsidRPr="00B3688D" w:rsidRDefault="006E30BC" w:rsidP="006E30BC">
      <w:pPr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 xml:space="preserve">Директор юридичного </w:t>
      </w:r>
    </w:p>
    <w:p w:rsidR="006E30BC" w:rsidRPr="00B3688D" w:rsidRDefault="00E5517A" w:rsidP="006E30BC">
      <w:pPr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д</w:t>
      </w:r>
      <w:r w:rsidR="006E30BC" w:rsidRPr="00B3688D">
        <w:rPr>
          <w:rFonts w:ascii="Arial" w:hAnsi="Arial" w:cs="Arial"/>
          <w:sz w:val="26"/>
          <w:szCs w:val="26"/>
        </w:rPr>
        <w:t>епартаменту</w:t>
      </w:r>
      <w:r w:rsidR="006E30BC" w:rsidRPr="00B3688D">
        <w:rPr>
          <w:rFonts w:ascii="Arial" w:hAnsi="Arial" w:cs="Arial"/>
          <w:sz w:val="26"/>
          <w:szCs w:val="26"/>
        </w:rPr>
        <w:tab/>
      </w:r>
      <w:r w:rsidR="006E30BC" w:rsidRPr="00B3688D">
        <w:rPr>
          <w:rFonts w:ascii="Arial" w:hAnsi="Arial" w:cs="Arial"/>
          <w:sz w:val="26"/>
          <w:szCs w:val="26"/>
        </w:rPr>
        <w:tab/>
      </w:r>
      <w:r w:rsidR="006E30BC" w:rsidRPr="00B3688D">
        <w:rPr>
          <w:rFonts w:ascii="Arial" w:hAnsi="Arial" w:cs="Arial"/>
          <w:sz w:val="26"/>
          <w:szCs w:val="26"/>
        </w:rPr>
        <w:tab/>
      </w:r>
      <w:r w:rsidR="006E30BC" w:rsidRPr="00B3688D">
        <w:rPr>
          <w:rFonts w:ascii="Arial" w:hAnsi="Arial" w:cs="Arial"/>
          <w:sz w:val="26"/>
          <w:szCs w:val="26"/>
        </w:rPr>
        <w:tab/>
      </w:r>
      <w:r w:rsidR="006E30BC" w:rsidRPr="00B3688D">
        <w:rPr>
          <w:rFonts w:ascii="Arial" w:hAnsi="Arial" w:cs="Arial"/>
          <w:sz w:val="26"/>
          <w:szCs w:val="26"/>
        </w:rPr>
        <w:tab/>
      </w:r>
      <w:r w:rsidR="006E30BC" w:rsidRPr="00B3688D">
        <w:rPr>
          <w:rFonts w:ascii="Arial" w:hAnsi="Arial" w:cs="Arial"/>
          <w:sz w:val="26"/>
          <w:szCs w:val="26"/>
        </w:rPr>
        <w:tab/>
      </w:r>
      <w:r w:rsidR="006E30BC" w:rsidRPr="00B3688D">
        <w:rPr>
          <w:rFonts w:ascii="Arial" w:hAnsi="Arial" w:cs="Arial"/>
          <w:sz w:val="26"/>
          <w:szCs w:val="26"/>
        </w:rPr>
        <w:tab/>
        <w:t>Гелена ПАЙОНКЕВИЧ</w:t>
      </w:r>
    </w:p>
    <w:p w:rsidR="00CD46FB" w:rsidRPr="00B3688D" w:rsidRDefault="00CD46FB" w:rsidP="006E30BC">
      <w:pPr>
        <w:rPr>
          <w:rFonts w:ascii="Arial" w:hAnsi="Arial" w:cs="Arial"/>
          <w:sz w:val="26"/>
          <w:szCs w:val="26"/>
        </w:rPr>
      </w:pPr>
    </w:p>
    <w:p w:rsidR="00CD46FB" w:rsidRPr="00B3688D" w:rsidRDefault="00CD46FB" w:rsidP="006E30BC">
      <w:pPr>
        <w:rPr>
          <w:rFonts w:ascii="Arial" w:hAnsi="Arial" w:cs="Arial"/>
          <w:sz w:val="26"/>
          <w:szCs w:val="26"/>
        </w:rPr>
      </w:pPr>
      <w:r w:rsidRPr="00B3688D">
        <w:rPr>
          <w:rFonts w:ascii="Arial" w:hAnsi="Arial" w:cs="Arial"/>
          <w:sz w:val="26"/>
          <w:szCs w:val="26"/>
        </w:rPr>
        <w:t>Член редакційної комісії</w:t>
      </w:r>
    </w:p>
    <w:sectPr w:rsidR="00CD46FB" w:rsidRPr="00B3688D" w:rsidSect="00315BC4">
      <w:headerReference w:type="default" r:id="rId8"/>
      <w:pgSz w:w="11906" w:h="16838"/>
      <w:pgMar w:top="851" w:right="851" w:bottom="1134" w:left="1701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44" w:rsidRDefault="00327644">
      <w:r>
        <w:separator/>
      </w:r>
    </w:p>
  </w:endnote>
  <w:endnote w:type="continuationSeparator" w:id="0">
    <w:p w:rsidR="00327644" w:rsidRDefault="0032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44" w:rsidRDefault="00327644">
      <w:r>
        <w:separator/>
      </w:r>
    </w:p>
  </w:footnote>
  <w:footnote w:type="continuationSeparator" w:id="0">
    <w:p w:rsidR="00327644" w:rsidRDefault="0032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88D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27644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835FC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30BC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0BD8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3688D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D46F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5517A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0CDF-4257-4145-B690-9BE69770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2022-07-01T11:33:00Z</cp:lastPrinted>
  <dcterms:created xsi:type="dcterms:W3CDTF">2022-07-01T11:31:00Z</dcterms:created>
  <dcterms:modified xsi:type="dcterms:W3CDTF">2022-07-14T07:17:00Z</dcterms:modified>
</cp:coreProperties>
</file>