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C90" w:rsidRPr="00F10D5D" w:rsidRDefault="00594C90" w:rsidP="00F73CEA">
      <w:pPr>
        <w:ind w:left="10800"/>
        <w:rPr>
          <w:rFonts w:ascii="Arial" w:hAnsi="Arial" w:cs="Arial"/>
          <w:sz w:val="26"/>
          <w:szCs w:val="26"/>
        </w:rPr>
      </w:pPr>
    </w:p>
    <w:p w:rsidR="00594C90" w:rsidRPr="00F10D5D" w:rsidRDefault="00594C90" w:rsidP="005E6555">
      <w:pPr>
        <w:ind w:left="10620" w:firstLine="708"/>
        <w:rPr>
          <w:rFonts w:ascii="Arial" w:hAnsi="Arial" w:cs="Arial"/>
          <w:sz w:val="26"/>
          <w:szCs w:val="26"/>
        </w:rPr>
      </w:pPr>
      <w:r w:rsidRPr="00F10D5D">
        <w:rPr>
          <w:rFonts w:ascii="Arial" w:hAnsi="Arial" w:cs="Arial"/>
          <w:sz w:val="26"/>
          <w:szCs w:val="26"/>
        </w:rPr>
        <w:t xml:space="preserve">         Додаток 2</w:t>
      </w:r>
    </w:p>
    <w:p w:rsidR="00594C90" w:rsidRPr="00F10D5D" w:rsidRDefault="00594C90" w:rsidP="005E6555">
      <w:pPr>
        <w:ind w:left="10620" w:firstLine="708"/>
        <w:rPr>
          <w:rFonts w:ascii="Arial" w:hAnsi="Arial" w:cs="Arial"/>
          <w:sz w:val="26"/>
          <w:szCs w:val="26"/>
        </w:rPr>
      </w:pPr>
    </w:p>
    <w:p w:rsidR="00594C90" w:rsidRPr="00F10D5D" w:rsidRDefault="00594C90" w:rsidP="00180293">
      <w:pPr>
        <w:ind w:left="9912" w:firstLine="708"/>
        <w:rPr>
          <w:rFonts w:ascii="Arial" w:hAnsi="Arial" w:cs="Arial"/>
          <w:sz w:val="26"/>
          <w:szCs w:val="26"/>
          <w:lang w:val="ru-RU"/>
        </w:rPr>
      </w:pPr>
      <w:r w:rsidRPr="00F10D5D">
        <w:rPr>
          <w:rFonts w:ascii="Arial" w:hAnsi="Arial" w:cs="Arial"/>
          <w:sz w:val="26"/>
          <w:szCs w:val="26"/>
          <w:lang w:val="ru-RU"/>
        </w:rPr>
        <w:t xml:space="preserve">       Затверджено </w:t>
      </w:r>
      <w:bookmarkStart w:id="0" w:name="_GoBack"/>
      <w:bookmarkEnd w:id="0"/>
    </w:p>
    <w:p w:rsidR="00594C90" w:rsidRPr="00F10D5D" w:rsidRDefault="00594C90" w:rsidP="00180293">
      <w:pPr>
        <w:ind w:left="9912" w:firstLine="708"/>
        <w:rPr>
          <w:rFonts w:ascii="Arial" w:hAnsi="Arial" w:cs="Arial"/>
          <w:sz w:val="26"/>
          <w:szCs w:val="26"/>
        </w:rPr>
      </w:pPr>
      <w:r w:rsidRPr="00F10D5D">
        <w:rPr>
          <w:rFonts w:ascii="Arial" w:hAnsi="Arial" w:cs="Arial"/>
          <w:sz w:val="26"/>
          <w:szCs w:val="26"/>
        </w:rPr>
        <w:t>рішення</w:t>
      </w:r>
      <w:r w:rsidRPr="00F10D5D">
        <w:rPr>
          <w:rFonts w:ascii="Arial" w:hAnsi="Arial" w:cs="Arial"/>
          <w:sz w:val="26"/>
          <w:szCs w:val="26"/>
          <w:lang w:val="ru-RU"/>
        </w:rPr>
        <w:t xml:space="preserve">м </w:t>
      </w:r>
      <w:r w:rsidRPr="00F10D5D">
        <w:rPr>
          <w:rFonts w:ascii="Arial" w:hAnsi="Arial" w:cs="Arial"/>
          <w:sz w:val="26"/>
          <w:szCs w:val="26"/>
        </w:rPr>
        <w:t>виконкому</w:t>
      </w:r>
    </w:p>
    <w:p w:rsidR="00594C90" w:rsidRPr="00F10D5D" w:rsidRDefault="00594C90" w:rsidP="00180293">
      <w:pPr>
        <w:ind w:left="10620"/>
        <w:rPr>
          <w:rFonts w:ascii="Arial" w:hAnsi="Arial" w:cs="Arial"/>
          <w:sz w:val="26"/>
          <w:szCs w:val="26"/>
        </w:rPr>
      </w:pPr>
      <w:r w:rsidRPr="00F10D5D">
        <w:rPr>
          <w:rFonts w:ascii="Arial" w:hAnsi="Arial" w:cs="Arial"/>
          <w:sz w:val="26"/>
          <w:szCs w:val="26"/>
          <w:lang w:val="ru-RU"/>
        </w:rPr>
        <w:t xml:space="preserve">від </w:t>
      </w:r>
      <w:r w:rsidR="00F10D5D">
        <w:rPr>
          <w:rFonts w:ascii="Arial" w:hAnsi="Arial" w:cs="Arial"/>
          <w:sz w:val="26"/>
          <w:szCs w:val="26"/>
          <w:lang w:val="ru-RU"/>
        </w:rPr>
        <w:t>28.11.2016</w:t>
      </w:r>
      <w:r w:rsidRPr="00F10D5D">
        <w:rPr>
          <w:rFonts w:ascii="Arial" w:hAnsi="Arial" w:cs="Arial"/>
          <w:sz w:val="26"/>
          <w:szCs w:val="26"/>
          <w:lang w:val="ru-RU"/>
        </w:rPr>
        <w:t xml:space="preserve"> №</w:t>
      </w:r>
      <w:r w:rsidRPr="00F10D5D">
        <w:rPr>
          <w:rFonts w:ascii="Arial" w:hAnsi="Arial" w:cs="Arial"/>
          <w:sz w:val="26"/>
          <w:szCs w:val="26"/>
        </w:rPr>
        <w:t xml:space="preserve"> </w:t>
      </w:r>
      <w:r w:rsidR="00F10D5D">
        <w:rPr>
          <w:rFonts w:ascii="Arial" w:hAnsi="Arial" w:cs="Arial"/>
          <w:sz w:val="26"/>
          <w:szCs w:val="26"/>
        </w:rPr>
        <w:t>1100</w:t>
      </w:r>
    </w:p>
    <w:p w:rsidR="00594C90" w:rsidRPr="00F10D5D" w:rsidRDefault="00594C90" w:rsidP="00D50A89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594C90" w:rsidRPr="00F10D5D" w:rsidRDefault="00594C90" w:rsidP="00D50A89">
      <w:pPr>
        <w:jc w:val="center"/>
        <w:rPr>
          <w:rFonts w:ascii="Arial" w:hAnsi="Arial" w:cs="Arial"/>
          <w:sz w:val="26"/>
          <w:szCs w:val="26"/>
          <w:lang w:val="ru-RU"/>
        </w:rPr>
      </w:pPr>
    </w:p>
    <w:p w:rsidR="00594C90" w:rsidRPr="00F10D5D" w:rsidRDefault="00594C90" w:rsidP="00D50A89">
      <w:pPr>
        <w:jc w:val="center"/>
        <w:rPr>
          <w:rFonts w:ascii="Arial" w:hAnsi="Arial" w:cs="Arial"/>
          <w:sz w:val="26"/>
          <w:szCs w:val="26"/>
        </w:rPr>
      </w:pPr>
      <w:r w:rsidRPr="00F10D5D">
        <w:rPr>
          <w:rFonts w:ascii="Arial" w:hAnsi="Arial" w:cs="Arial"/>
          <w:sz w:val="26"/>
          <w:szCs w:val="26"/>
        </w:rPr>
        <w:t>Структура управління капітального будівництва Львівської міської ради</w:t>
      </w:r>
    </w:p>
    <w:p w:rsidR="00594C90" w:rsidRPr="00F10D5D" w:rsidRDefault="00594C90" w:rsidP="00D50A89">
      <w:pPr>
        <w:jc w:val="center"/>
        <w:rPr>
          <w:rFonts w:ascii="Arial" w:hAnsi="Arial" w:cs="Arial"/>
          <w:sz w:val="18"/>
          <w:szCs w:val="18"/>
        </w:rPr>
      </w:pPr>
    </w:p>
    <w:p w:rsidR="00594C90" w:rsidRPr="00F10D5D" w:rsidRDefault="00F10D5D" w:rsidP="003A0580">
      <w:pPr>
        <w:rPr>
          <w:rFonts w:ascii="Arial" w:hAnsi="Arial" w:cs="Arial"/>
          <w:sz w:val="28"/>
          <w:szCs w:val="28"/>
          <w:lang w:val="ru-RU"/>
        </w:rPr>
      </w:pPr>
      <w:r w:rsidRPr="00F10D5D">
        <w:rPr>
          <w:rFonts w:ascii="Arial" w:hAnsi="Arial" w:cs="Arial"/>
          <w:sz w:val="28"/>
          <w:szCs w:val="28"/>
        </w:rPr>
      </w:r>
      <w:r w:rsidRPr="00F10D5D">
        <w:rPr>
          <w:rFonts w:ascii="Arial" w:hAnsi="Arial" w:cs="Arial"/>
          <w:sz w:val="28"/>
          <w:szCs w:val="28"/>
        </w:rPr>
        <w:pict>
          <v:group id="_x0000_s1026" editas="canvas" style="width:756pt;height:3in;mso-position-horizontal-relative:char;mso-position-vertical-relative:line" coordorigin="4754,2114" coordsize="7560,216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4754;top:2114;width:7560;height:2160" o:preferrelative="f">
              <v:fill o:detectmouseclick="t"/>
              <v:path o:extrusionok="t" o:connecttype="none"/>
              <o:lock v:ext="edit" text="t"/>
            </v:shape>
            <v:rect id="_x0000_s1028" style="position:absolute;left:6554;top:2204;width:3060;height:360">
              <v:textbox style="mso-next-textbox:#_x0000_s1028">
                <w:txbxContent>
                  <w:p w:rsidR="00594C90" w:rsidRPr="005E6555" w:rsidRDefault="00594C90" w:rsidP="00A80871">
                    <w:pPr>
                      <w:jc w:val="center"/>
                      <w:rPr>
                        <w:rFonts w:ascii="Svoboda" w:hAnsi="Svoboda" w:cs="Arial"/>
                      </w:rPr>
                    </w:pPr>
                    <w:r w:rsidRPr="005E6555">
                      <w:rPr>
                        <w:rFonts w:ascii="Svoboda" w:hAnsi="Svoboda" w:cs="Arial"/>
                      </w:rPr>
                      <w:t xml:space="preserve">Начальник управління </w:t>
                    </w:r>
                  </w:p>
                </w:txbxContent>
              </v:textbox>
            </v:rect>
            <v:rect id="_x0000_s1029" style="position:absolute;left:10038;top:2204;width:1800;height:360">
              <v:textbox style="mso-next-textbox:#_x0000_s1029">
                <w:txbxContent>
                  <w:p w:rsidR="00594C90" w:rsidRPr="005E6555" w:rsidRDefault="00594C90" w:rsidP="00A80871">
                    <w:pPr>
                      <w:jc w:val="center"/>
                      <w:rPr>
                        <w:rFonts w:ascii="Svoboda" w:hAnsi="Svoboda" w:cs="Arial"/>
                        <w:lang w:val="en-US"/>
                      </w:rPr>
                    </w:pPr>
                    <w:r w:rsidRPr="005E6555">
                      <w:rPr>
                        <w:rFonts w:ascii="Svoboda" w:hAnsi="Svoboda" w:cs="Arial"/>
                      </w:rPr>
                      <w:t xml:space="preserve">Референт </w:t>
                    </w:r>
                  </w:p>
                </w:txbxContent>
              </v:textbox>
            </v:rect>
            <v:rect id="_x0000_s1030" style="position:absolute;left:6554;top:2684;width:3060;height:375">
              <v:textbox style="mso-next-textbox:#_x0000_s1030">
                <w:txbxContent>
                  <w:p w:rsidR="00594C90" w:rsidRPr="005E6555" w:rsidRDefault="00594C90" w:rsidP="00A80871">
                    <w:pPr>
                      <w:rPr>
                        <w:rFonts w:ascii="Svoboda" w:hAnsi="Svoboda"/>
                      </w:rPr>
                    </w:pPr>
                    <w:r w:rsidRPr="005E6555">
                      <w:rPr>
                        <w:rFonts w:ascii="Svoboda" w:hAnsi="Svoboda" w:cs="Arial"/>
                      </w:rPr>
                      <w:t xml:space="preserve">                   </w:t>
                    </w:r>
                    <w:r w:rsidRPr="005E6555">
                      <w:rPr>
                        <w:rFonts w:ascii="Svoboda" w:hAnsi="Svoboda" w:cs="Arial"/>
                      </w:rPr>
                      <w:t>Заступник начальника</w:t>
                    </w:r>
                    <w:r w:rsidRPr="005E6555">
                      <w:rPr>
                        <w:rFonts w:ascii="Svoboda" w:hAnsi="Svoboda" w:cs="Arial"/>
                        <w:lang w:val="en-US"/>
                      </w:rPr>
                      <w:t xml:space="preserve"> </w:t>
                    </w:r>
                    <w:r w:rsidRPr="005E6555">
                      <w:rPr>
                        <w:rFonts w:ascii="Svoboda" w:hAnsi="Svoboda" w:cs="Arial"/>
                      </w:rPr>
                      <w:t>управління</w:t>
                    </w:r>
                  </w:p>
                </w:txbxContent>
              </v:textbox>
            </v:rect>
            <v:rect id="_x0000_s1031" style="position:absolute;left:6273;top:3517;width:1048;height:540">
              <v:textbox style="mso-next-textbox:#_x0000_s1031">
                <w:txbxContent>
                  <w:p w:rsidR="00594C90" w:rsidRPr="005E6555" w:rsidRDefault="00594C90" w:rsidP="00A80871">
                    <w:pPr>
                      <w:jc w:val="center"/>
                      <w:rPr>
                        <w:rFonts w:ascii="Svoboda" w:hAnsi="Svoboda" w:cs="Arial"/>
                      </w:rPr>
                    </w:pPr>
                    <w:r w:rsidRPr="005E6555">
                      <w:rPr>
                        <w:rFonts w:ascii="Svoboda" w:hAnsi="Svoboda" w:cs="Arial"/>
                      </w:rPr>
                      <w:t>Відділ планування та інженерії</w:t>
                    </w:r>
                  </w:p>
                </w:txbxContent>
              </v:textbox>
            </v:rect>
            <v:rect id="_x0000_s1032" style="position:absolute;left:9292;top:3467;width:1132;height:588">
              <v:textbox style="mso-next-textbox:#_x0000_s1032">
                <w:txbxContent>
                  <w:p w:rsidR="00594C90" w:rsidRPr="005E6555" w:rsidRDefault="00594C90" w:rsidP="00A80871">
                    <w:pPr>
                      <w:jc w:val="center"/>
                      <w:rPr>
                        <w:rFonts w:ascii="Svoboda" w:hAnsi="Svoboda" w:cs="Arial"/>
                      </w:rPr>
                    </w:pPr>
                    <w:r w:rsidRPr="005E6555">
                      <w:rPr>
                        <w:rFonts w:ascii="Svoboda" w:hAnsi="Svoboda" w:cs="Arial"/>
                      </w:rPr>
                      <w:t>Юридичний відділ</w:t>
                    </w:r>
                  </w:p>
                </w:txbxContent>
              </v:textbox>
            </v:rect>
            <v:rect id="_x0000_s1033" style="position:absolute;left:7623;top:3517;width:1462;height:562">
              <v:textbox style="mso-next-textbox:#_x0000_s1033">
                <w:txbxContent>
                  <w:p w:rsidR="00594C90" w:rsidRPr="005E6555" w:rsidRDefault="00594C90" w:rsidP="00A80871">
                    <w:pPr>
                      <w:jc w:val="center"/>
                      <w:rPr>
                        <w:rFonts w:ascii="Svoboda" w:hAnsi="Svoboda" w:cs="Arial"/>
                      </w:rPr>
                    </w:pPr>
                    <w:r w:rsidRPr="005E6555">
                      <w:rPr>
                        <w:rFonts w:ascii="Svoboda" w:hAnsi="Svoboda" w:cs="Arial"/>
                      </w:rPr>
                      <w:t>Сектор кошторисно-договірної роботи</w:t>
                    </w:r>
                  </w:p>
                </w:txbxContent>
              </v:textbox>
            </v:rect>
            <v:rect id="_x0000_s1034" style="position:absolute;left:10038;top:2684;width:2036;height:375">
              <v:textbox style="mso-next-textbox:#_x0000_s1034">
                <w:txbxContent>
                  <w:p w:rsidR="00594C90" w:rsidRPr="00A80871" w:rsidRDefault="00594C90" w:rsidP="00A80871">
                    <w:pPr>
                      <w:jc w:val="center"/>
                    </w:pPr>
                    <w:r w:rsidRPr="00B33B28">
                      <w:rPr>
                        <w:rFonts w:ascii="Svoboda" w:hAnsi="Svoboda" w:cs="Arial"/>
                        <w:noProof/>
                      </w:rPr>
                      <w:t>Робітники, зайняті обслуговуванням управління</w:t>
                    </w:r>
                    <w:r w:rsidRPr="005E13B7">
                      <w:rPr>
                        <w:rFonts w:ascii="Svoboda" w:hAnsi="Svoboda" w:cs="Arial"/>
                        <w:noProof/>
                        <w:sz w:val="26"/>
                        <w:szCs w:val="26"/>
                      </w:rPr>
                      <w:t xml:space="preserve"> управління</w:t>
                    </w:r>
                  </w:p>
                </w:txbxContent>
              </v:textbox>
            </v:rect>
            <v:rect id="_x0000_s1035" style="position:absolute;left:10660;top:3493;width:1247;height:540">
              <v:textbox style="mso-next-textbox:#_x0000_s1035">
                <w:txbxContent>
                  <w:p w:rsidR="00594C90" w:rsidRPr="005E6555" w:rsidRDefault="00594C90" w:rsidP="00A80871">
                    <w:pPr>
                      <w:jc w:val="center"/>
                      <w:rPr>
                        <w:rFonts w:ascii="Svoboda" w:hAnsi="Svoboda" w:cs="Arial"/>
                      </w:rPr>
                    </w:pPr>
                    <w:r w:rsidRPr="005E6555">
                      <w:rPr>
                        <w:rFonts w:ascii="Svoboda" w:hAnsi="Svoboda" w:cs="Arial"/>
                      </w:rPr>
                      <w:t xml:space="preserve">Відділ фінансів та бухгалтерського обліку </w:t>
                    </w:r>
                  </w:p>
                </w:txbxContent>
              </v:textbox>
            </v:rect>
            <v:rect id="_x0000_s1036" style="position:absolute;left:5018;top:3517;width:935;height:540">
              <v:textbox style="mso-next-textbox:#_x0000_s1036">
                <w:txbxContent>
                  <w:p w:rsidR="00594C90" w:rsidRDefault="00594C90" w:rsidP="00A80871">
                    <w:pPr>
                      <w:jc w:val="center"/>
                      <w:rPr>
                        <w:rFonts w:ascii="Svoboda" w:hAnsi="Svoboda" w:cs="Arial"/>
                      </w:rPr>
                    </w:pPr>
                    <w:r w:rsidRPr="005E6555">
                      <w:rPr>
                        <w:rFonts w:ascii="Svoboda" w:hAnsi="Svoboda" w:cs="Arial"/>
                      </w:rPr>
                      <w:t>Відділ технічного</w:t>
                    </w:r>
                  </w:p>
                  <w:p w:rsidR="00594C90" w:rsidRPr="005E6555" w:rsidRDefault="00594C90" w:rsidP="00A80871">
                    <w:pPr>
                      <w:jc w:val="center"/>
                      <w:rPr>
                        <w:rFonts w:ascii="Svoboda" w:hAnsi="Svoboda" w:cs="Arial"/>
                        <w:lang w:val="en-US"/>
                      </w:rPr>
                    </w:pPr>
                    <w:proofErr w:type="gramStart"/>
                    <w:r>
                      <w:rPr>
                        <w:rFonts w:ascii="Svoboda" w:hAnsi="Svoboda" w:cs="Arial"/>
                        <w:lang w:val="en-US"/>
                      </w:rPr>
                      <w:t>нагляду</w:t>
                    </w:r>
                    <w:proofErr w:type="gramEnd"/>
                  </w:p>
                  <w:p w:rsidR="00594C90" w:rsidRPr="007D67A6" w:rsidRDefault="00594C90" w:rsidP="00A80871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              нагляду</w:t>
                    </w:r>
                  </w:p>
                </w:txbxContent>
              </v:textbox>
            </v:rect>
            <v:line id="_x0000_s1037" style="position:absolute" from="9974,3824" to="9974,3824"/>
            <v:line id="_x0000_s1038" style="position:absolute" from="9974,3734" to="9974,3734"/>
            <v:line id="_x0000_s1039" style="position:absolute" from="9974,3734" to="9974,3734"/>
            <v:line id="_x0000_s1040" style="position:absolute" from="9974,3734" to="9974,3734"/>
            <v:line id="_x0000_s1041" style="position:absolute" from="9704,3104" to="9705,3105"/>
            <v:line id="_x0000_s1042" style="position:absolute" from="9434,3644" to="9434,3644"/>
            <v:line id="_x0000_s1043" style="position:absolute" from="9434,3644" to="9434,3644"/>
            <v:line id="_x0000_s1044" style="position:absolute" from="9434,3644" to="9434,3644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5" type="#_x0000_t32" style="position:absolute;left:8084;top:2564;width:1;height:120" o:connectortype="straight">
              <v:stroke endarrow="block"/>
            </v:shape>
            <v:shape id="_x0000_s1046" type="#_x0000_t32" style="position:absolute;left:5489;top:3261;width:5753;height:1" o:connectortype="straight"/>
            <v:shape id="_x0000_s1047" type="#_x0000_t32" style="position:absolute;left:5823;top:2384;width:731;height:1;flip:x" o:connectortype="straight"/>
            <v:shape id="_x0000_s1048" type="#_x0000_t32" style="position:absolute;left:5823;top:2385;width:0;height:765" o:connectortype="straight"/>
            <v:shape id="_x0000_s1049" type="#_x0000_t32" style="position:absolute;left:5440;top:3150;width:0;height:0" o:connectortype="straight">
              <v:stroke endarrow="block"/>
            </v:shape>
            <v:shape id="_x0000_s1050" type="#_x0000_t32" style="position:absolute;left:9614;top:2384;width:424;height:1" o:connectortype="straight">
              <v:stroke endarrow="block"/>
            </v:shape>
            <v:shape id="_x0000_s1051" type="#_x0000_t32" style="position:absolute;left:9614;top:2872;width:424;height:1" o:connectortype="straight">
              <v:stroke endarrow="block"/>
            </v:shape>
            <v:shape id="_x0000_s1052" type="#_x0000_t32" style="position:absolute;left:5488;top:3261;width:1;height:232" o:connectortype="straight">
              <v:stroke endarrow="block"/>
            </v:shape>
            <v:shape id="_x0000_s1053" type="#_x0000_t32" style="position:absolute;left:6860;top:3286;width:1;height:231" o:connectortype="straight">
              <v:stroke endarrow="block"/>
            </v:shape>
            <v:shape id="_x0000_s1054" type="#_x0000_t32" style="position:absolute;left:7907;top:3058;width:1;height:203" o:connectortype="straight">
              <v:stroke endarrow="block"/>
            </v:shape>
            <v:shape id="_x0000_s1055" type="#_x0000_t32" style="position:absolute;left:5823;top:3105;width:0;height:157" o:connectortype="straight"/>
            <v:shape id="_x0000_s1056" type="#_x0000_t32" style="position:absolute;left:5823;top:2384;width:731;height:1;flip:y" o:connectortype="straight"/>
            <v:shape id="_x0000_s1057" type="#_x0000_t32" style="position:absolute;left:5546;top:3262;width:5697;height:1" o:connectortype="straight"/>
            <v:shape id="_x0000_s1058" type="#_x0000_t32" style="position:absolute;left:5488;top:3262;width:57;height:0;flip:x" o:connectortype="straight"/>
            <v:shape id="_x0000_s1059" type="#_x0000_t32" style="position:absolute;left:5440;top:2872;width:0;height:1" o:connectortype="straight"/>
            <v:shape id="_x0000_s1060" type="#_x0000_t32" style="position:absolute;left:11234;top:3284;width:1;height:181" o:connectortype="straight">
              <v:stroke endarrow="block"/>
            </v:shape>
            <v:shape id="_x0000_s1061" type="#_x0000_t32" style="position:absolute;left:9858;top:3262;width:3;height:205;flip:x" o:connectortype="straight">
              <v:stroke endarrow="block"/>
            </v:shape>
            <v:shape id="_x0000_s1062" type="#_x0000_t32" style="position:absolute;left:8414;top:3284;width:3;height:205;flip:x" o:connectortype="straight">
              <v:stroke endarrow="block"/>
            </v:shape>
            <w10:anchorlock/>
          </v:group>
        </w:pict>
      </w:r>
    </w:p>
    <w:p w:rsidR="00594C90" w:rsidRPr="00F10D5D" w:rsidRDefault="00594C90" w:rsidP="003A0580">
      <w:pPr>
        <w:rPr>
          <w:rFonts w:ascii="Arial" w:hAnsi="Arial" w:cs="Arial"/>
          <w:sz w:val="20"/>
          <w:szCs w:val="20"/>
          <w:lang w:val="ru-RU"/>
        </w:rPr>
      </w:pPr>
    </w:p>
    <w:p w:rsidR="00594C90" w:rsidRPr="00F10D5D" w:rsidRDefault="00594C90" w:rsidP="00802B32">
      <w:pPr>
        <w:rPr>
          <w:rFonts w:ascii="Arial" w:hAnsi="Arial" w:cs="Arial"/>
          <w:sz w:val="28"/>
          <w:szCs w:val="28"/>
        </w:rPr>
      </w:pPr>
    </w:p>
    <w:p w:rsidR="00594C90" w:rsidRPr="00F10D5D" w:rsidRDefault="00594C90" w:rsidP="00CF57E9">
      <w:pPr>
        <w:ind w:left="708" w:firstLine="708"/>
        <w:rPr>
          <w:rFonts w:ascii="Arial" w:hAnsi="Arial" w:cs="Arial"/>
          <w:sz w:val="26"/>
          <w:szCs w:val="26"/>
        </w:rPr>
      </w:pPr>
      <w:r w:rsidRPr="00F10D5D">
        <w:rPr>
          <w:rFonts w:ascii="Arial" w:hAnsi="Arial" w:cs="Arial"/>
          <w:sz w:val="26"/>
          <w:szCs w:val="26"/>
        </w:rPr>
        <w:t>Керуючий справами виконкому</w:t>
      </w:r>
      <w:r w:rsidRPr="00F10D5D">
        <w:rPr>
          <w:rFonts w:ascii="Arial" w:hAnsi="Arial" w:cs="Arial"/>
          <w:sz w:val="26"/>
          <w:szCs w:val="26"/>
        </w:rPr>
        <w:tab/>
      </w:r>
      <w:r w:rsidRPr="00F10D5D">
        <w:rPr>
          <w:rFonts w:ascii="Arial" w:hAnsi="Arial" w:cs="Arial"/>
          <w:sz w:val="26"/>
          <w:szCs w:val="26"/>
        </w:rPr>
        <w:tab/>
      </w:r>
      <w:r w:rsidRPr="00F10D5D">
        <w:rPr>
          <w:rFonts w:ascii="Arial" w:hAnsi="Arial" w:cs="Arial"/>
          <w:sz w:val="26"/>
          <w:szCs w:val="26"/>
        </w:rPr>
        <w:tab/>
      </w:r>
      <w:r w:rsidRPr="00F10D5D">
        <w:rPr>
          <w:rFonts w:ascii="Arial" w:hAnsi="Arial" w:cs="Arial"/>
          <w:sz w:val="26"/>
          <w:szCs w:val="26"/>
        </w:rPr>
        <w:tab/>
      </w:r>
      <w:r w:rsidRPr="00F10D5D">
        <w:rPr>
          <w:rFonts w:ascii="Arial" w:hAnsi="Arial" w:cs="Arial"/>
          <w:sz w:val="26"/>
          <w:szCs w:val="26"/>
        </w:rPr>
        <w:tab/>
      </w:r>
      <w:r w:rsidRPr="00F10D5D">
        <w:rPr>
          <w:rFonts w:ascii="Arial" w:hAnsi="Arial" w:cs="Arial"/>
          <w:sz w:val="26"/>
          <w:szCs w:val="26"/>
        </w:rPr>
        <w:tab/>
      </w:r>
      <w:r w:rsidRPr="00F10D5D">
        <w:rPr>
          <w:rFonts w:ascii="Arial" w:hAnsi="Arial" w:cs="Arial"/>
          <w:sz w:val="26"/>
          <w:szCs w:val="26"/>
        </w:rPr>
        <w:tab/>
        <w:t>М. Литвинюк</w:t>
      </w:r>
    </w:p>
    <w:p w:rsidR="00594C90" w:rsidRPr="00F10D5D" w:rsidRDefault="00594C90" w:rsidP="00CF57E9">
      <w:pPr>
        <w:ind w:left="708" w:firstLine="708"/>
        <w:rPr>
          <w:rFonts w:ascii="Arial" w:hAnsi="Arial" w:cs="Arial"/>
          <w:sz w:val="26"/>
          <w:szCs w:val="26"/>
        </w:rPr>
      </w:pPr>
    </w:p>
    <w:p w:rsidR="00594C90" w:rsidRPr="00F10D5D" w:rsidRDefault="00594C90" w:rsidP="00A80871">
      <w:pPr>
        <w:ind w:left="1416" w:firstLine="708"/>
        <w:rPr>
          <w:rFonts w:ascii="Arial" w:hAnsi="Arial" w:cs="Arial"/>
          <w:sz w:val="26"/>
          <w:szCs w:val="26"/>
        </w:rPr>
      </w:pPr>
      <w:r w:rsidRPr="00F10D5D">
        <w:rPr>
          <w:rFonts w:ascii="Arial" w:hAnsi="Arial" w:cs="Arial"/>
          <w:sz w:val="26"/>
          <w:szCs w:val="26"/>
        </w:rPr>
        <w:t>Віза:</w:t>
      </w:r>
    </w:p>
    <w:p w:rsidR="00594C90" w:rsidRPr="00F10D5D" w:rsidRDefault="00594C90" w:rsidP="00CF57E9">
      <w:pPr>
        <w:ind w:left="708" w:firstLine="708"/>
        <w:rPr>
          <w:rFonts w:ascii="Arial" w:hAnsi="Arial" w:cs="Arial"/>
          <w:sz w:val="26"/>
          <w:szCs w:val="26"/>
        </w:rPr>
      </w:pPr>
    </w:p>
    <w:p w:rsidR="00594C90" w:rsidRPr="00F10D5D" w:rsidRDefault="00594C90" w:rsidP="00CF57E9">
      <w:pPr>
        <w:ind w:left="708" w:firstLine="708"/>
        <w:rPr>
          <w:rFonts w:ascii="Arial" w:hAnsi="Arial" w:cs="Arial"/>
          <w:sz w:val="26"/>
          <w:szCs w:val="26"/>
        </w:rPr>
      </w:pPr>
      <w:r w:rsidRPr="00F10D5D">
        <w:rPr>
          <w:rFonts w:ascii="Arial" w:hAnsi="Arial" w:cs="Arial"/>
          <w:sz w:val="26"/>
          <w:szCs w:val="26"/>
        </w:rPr>
        <w:t xml:space="preserve">В. о. начальника управління </w:t>
      </w:r>
    </w:p>
    <w:p w:rsidR="00594C90" w:rsidRPr="00F10D5D" w:rsidRDefault="00594C90" w:rsidP="00CF57E9">
      <w:pPr>
        <w:ind w:left="708" w:firstLine="708"/>
        <w:rPr>
          <w:rFonts w:ascii="Arial" w:hAnsi="Arial" w:cs="Arial"/>
          <w:sz w:val="26"/>
          <w:szCs w:val="26"/>
        </w:rPr>
      </w:pPr>
      <w:r w:rsidRPr="00F10D5D">
        <w:rPr>
          <w:rFonts w:ascii="Arial" w:hAnsi="Arial" w:cs="Arial"/>
          <w:sz w:val="26"/>
          <w:szCs w:val="26"/>
        </w:rPr>
        <w:t xml:space="preserve">капітального будівництва </w:t>
      </w:r>
      <w:r w:rsidRPr="00F10D5D">
        <w:rPr>
          <w:rFonts w:ascii="Arial" w:hAnsi="Arial" w:cs="Arial"/>
          <w:sz w:val="26"/>
          <w:szCs w:val="26"/>
        </w:rPr>
        <w:tab/>
      </w:r>
      <w:r w:rsidRPr="00F10D5D">
        <w:rPr>
          <w:rFonts w:ascii="Arial" w:hAnsi="Arial" w:cs="Arial"/>
          <w:sz w:val="26"/>
          <w:szCs w:val="26"/>
        </w:rPr>
        <w:tab/>
      </w:r>
      <w:r w:rsidRPr="00F10D5D">
        <w:rPr>
          <w:rFonts w:ascii="Arial" w:hAnsi="Arial" w:cs="Arial"/>
          <w:sz w:val="26"/>
          <w:szCs w:val="26"/>
        </w:rPr>
        <w:tab/>
      </w:r>
      <w:r w:rsidRPr="00F10D5D">
        <w:rPr>
          <w:rFonts w:ascii="Arial" w:hAnsi="Arial" w:cs="Arial"/>
          <w:sz w:val="26"/>
          <w:szCs w:val="26"/>
        </w:rPr>
        <w:tab/>
      </w:r>
      <w:r w:rsidRPr="00F10D5D">
        <w:rPr>
          <w:rFonts w:ascii="Arial" w:hAnsi="Arial" w:cs="Arial"/>
          <w:sz w:val="26"/>
          <w:szCs w:val="26"/>
        </w:rPr>
        <w:tab/>
        <w:t xml:space="preserve">           </w:t>
      </w:r>
      <w:r w:rsidRPr="00F10D5D">
        <w:rPr>
          <w:rFonts w:ascii="Arial" w:hAnsi="Arial" w:cs="Arial"/>
          <w:sz w:val="26"/>
          <w:szCs w:val="26"/>
        </w:rPr>
        <w:tab/>
      </w:r>
      <w:r w:rsidRPr="00F10D5D">
        <w:rPr>
          <w:rFonts w:ascii="Arial" w:hAnsi="Arial" w:cs="Arial"/>
          <w:sz w:val="26"/>
          <w:szCs w:val="26"/>
        </w:rPr>
        <w:tab/>
        <w:t>П. Мурава</w:t>
      </w:r>
    </w:p>
    <w:sectPr w:rsidR="00594C90" w:rsidRPr="00F10D5D" w:rsidSect="00B33B28">
      <w:pgSz w:w="16838" w:h="11906" w:orient="landscape"/>
      <w:pgMar w:top="1418" w:right="567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voboda">
    <w:altName w:val="Bahnschrift Light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04BD"/>
    <w:rsid w:val="000157FB"/>
    <w:rsid w:val="00021676"/>
    <w:rsid w:val="00021AC4"/>
    <w:rsid w:val="0004443B"/>
    <w:rsid w:val="000704BD"/>
    <w:rsid w:val="00077436"/>
    <w:rsid w:val="000A7E0B"/>
    <w:rsid w:val="000F60D0"/>
    <w:rsid w:val="000F6149"/>
    <w:rsid w:val="001222B6"/>
    <w:rsid w:val="00170E51"/>
    <w:rsid w:val="00180293"/>
    <w:rsid w:val="00194595"/>
    <w:rsid w:val="00196E69"/>
    <w:rsid w:val="001C74B0"/>
    <w:rsid w:val="0020288F"/>
    <w:rsid w:val="00264AC5"/>
    <w:rsid w:val="00273F7A"/>
    <w:rsid w:val="002859A6"/>
    <w:rsid w:val="00326B69"/>
    <w:rsid w:val="00361448"/>
    <w:rsid w:val="003A0580"/>
    <w:rsid w:val="003C4669"/>
    <w:rsid w:val="003D3518"/>
    <w:rsid w:val="003F2852"/>
    <w:rsid w:val="00447BDB"/>
    <w:rsid w:val="00481CAD"/>
    <w:rsid w:val="004915FD"/>
    <w:rsid w:val="004C6206"/>
    <w:rsid w:val="00587564"/>
    <w:rsid w:val="00594C90"/>
    <w:rsid w:val="005A3940"/>
    <w:rsid w:val="005E13B7"/>
    <w:rsid w:val="005E6555"/>
    <w:rsid w:val="00643578"/>
    <w:rsid w:val="0068216A"/>
    <w:rsid w:val="006A18CF"/>
    <w:rsid w:val="00703455"/>
    <w:rsid w:val="00706D5A"/>
    <w:rsid w:val="0072528C"/>
    <w:rsid w:val="007C51CB"/>
    <w:rsid w:val="007D67A6"/>
    <w:rsid w:val="007E119F"/>
    <w:rsid w:val="00802B32"/>
    <w:rsid w:val="00820FF3"/>
    <w:rsid w:val="008314AC"/>
    <w:rsid w:val="0087706F"/>
    <w:rsid w:val="009D6680"/>
    <w:rsid w:val="00A21416"/>
    <w:rsid w:val="00A21719"/>
    <w:rsid w:val="00A76657"/>
    <w:rsid w:val="00A80871"/>
    <w:rsid w:val="00A92218"/>
    <w:rsid w:val="00AD19BD"/>
    <w:rsid w:val="00B33B28"/>
    <w:rsid w:val="00B4187E"/>
    <w:rsid w:val="00B77F7B"/>
    <w:rsid w:val="00BB29BA"/>
    <w:rsid w:val="00BB2CAD"/>
    <w:rsid w:val="00C654BA"/>
    <w:rsid w:val="00C76D10"/>
    <w:rsid w:val="00C87BA6"/>
    <w:rsid w:val="00CF4DE7"/>
    <w:rsid w:val="00CF57E9"/>
    <w:rsid w:val="00D03825"/>
    <w:rsid w:val="00D038C3"/>
    <w:rsid w:val="00D50A89"/>
    <w:rsid w:val="00D712F5"/>
    <w:rsid w:val="00DB60BA"/>
    <w:rsid w:val="00EA0B2D"/>
    <w:rsid w:val="00EB56B6"/>
    <w:rsid w:val="00F0748C"/>
    <w:rsid w:val="00F10D5D"/>
    <w:rsid w:val="00F36FB8"/>
    <w:rsid w:val="00F553EF"/>
    <w:rsid w:val="00F64667"/>
    <w:rsid w:val="00F73CEA"/>
    <w:rsid w:val="00F73EDD"/>
    <w:rsid w:val="00FA1ED3"/>
    <w:rsid w:val="00FC76FC"/>
    <w:rsid w:val="00FE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3"/>
    <o:shapelayout v:ext="edit">
      <o:idmap v:ext="edit" data="1"/>
      <o:rules v:ext="edit">
        <o:r id="V:Rule1" type="connector" idref="#_x0000_s1045"/>
        <o:r id="V:Rule2" type="connector" idref="#_x0000_s1046"/>
        <o:r id="V:Rule3" type="connector" idref="#_x0000_s1047"/>
        <o:r id="V:Rule4" type="connector" idref="#_x0000_s1048"/>
        <o:r id="V:Rule5" type="connector" idref="#_x0000_s1049"/>
        <o:r id="V:Rule6" type="connector" idref="#_x0000_s1050"/>
        <o:r id="V:Rule7" type="connector" idref="#_x0000_s1051"/>
        <o:r id="V:Rule8" type="connector" idref="#_x0000_s1052"/>
        <o:r id="V:Rule9" type="connector" idref="#_x0000_s1053"/>
        <o:r id="V:Rule10" type="connector" idref="#_x0000_s1054"/>
        <o:r id="V:Rule11" type="connector" idref="#_x0000_s1055"/>
        <o:r id="V:Rule12" type="connector" idref="#_x0000_s1056"/>
        <o:r id="V:Rule13" type="connector" idref="#_x0000_s1057"/>
        <o:r id="V:Rule14" type="connector" idref="#_x0000_s1058"/>
        <o:r id="V:Rule15" type="connector" idref="#_x0000_s1059"/>
        <o:r id="V:Rule16" type="connector" idref="#_x0000_s1060"/>
        <o:r id="V:Rule17" type="connector" idref="#_x0000_s1061"/>
        <o:r id="V:Rule18" type="connector" idref="#_x0000_s1062"/>
      </o:rules>
    </o:shapelayout>
  </w:shapeDefaults>
  <w:decimalSymbol w:val=","/>
  <w:listSeparator w:val=";"/>
  <w14:docId w14:val="18ACB224"/>
  <w15:docId w15:val="{B723228E-83EF-4FBE-A69B-A6F23637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21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26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FA1ED3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locked/>
    <w:rsid w:val="00FE0091"/>
    <w:rPr>
      <w:rFonts w:cs="Times New Roman"/>
      <w:sz w:val="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205</Words>
  <Characters>117</Characters>
  <Application>Microsoft Office Word</Application>
  <DocSecurity>0</DocSecurity>
  <Lines>1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Додаток</dc:title>
  <dc:subject/>
  <dc:creator>1</dc:creator>
  <cp:keywords/>
  <dc:description/>
  <cp:lastModifiedBy>kachmaryk.oksana</cp:lastModifiedBy>
  <cp:revision>10</cp:revision>
  <cp:lastPrinted>2016-11-17T09:19:00Z</cp:lastPrinted>
  <dcterms:created xsi:type="dcterms:W3CDTF">2016-11-07T09:42:00Z</dcterms:created>
  <dcterms:modified xsi:type="dcterms:W3CDTF">2023-09-29T06:46:00Z</dcterms:modified>
</cp:coreProperties>
</file>